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7" w:rsidRPr="00EF64E0" w:rsidRDefault="00760B07" w:rsidP="00760B07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EF64E0">
        <w:rPr>
          <w:rFonts w:ascii="GHEA Grapalat" w:hAnsi="GHEA Grapalat"/>
          <w:b/>
          <w:sz w:val="22"/>
          <w:szCs w:val="22"/>
        </w:rPr>
        <w:t>ԱՄՓՈՓԱԹԵՐԹ</w:t>
      </w:r>
    </w:p>
    <w:p w:rsidR="000E0DAD" w:rsidRPr="00EF64E0" w:rsidRDefault="001542BE" w:rsidP="00EF64E0">
      <w:pPr>
        <w:jc w:val="center"/>
        <w:rPr>
          <w:rFonts w:ascii="Sylfaen" w:hAnsi="Sylfaen"/>
          <w:b/>
          <w:sz w:val="22"/>
          <w:szCs w:val="22"/>
        </w:rPr>
      </w:pPr>
      <w:r w:rsidRPr="001542BE">
        <w:rPr>
          <w:rFonts w:ascii="GHEA Grapalat" w:hAnsi="GHEA Grapalat" w:cs="Sylfaen"/>
          <w:b/>
          <w:sz w:val="22"/>
          <w:szCs w:val="22"/>
          <w:lang w:val="hy-AM"/>
        </w:rPr>
        <w:t>«ՀԱՅԱՍՏԱՆԻ ՀԱՆՐԱՊԵՏՈՒԹՅԱՆ 2020 ԹՎԱԿԱՆԻ ՊԵՏԱԿԱՆ ԲՅՈՒՋԵԻ ՄԱՍԻՆ» ՕՐԵՆՔՈՒՄ ՎԵՐԱԲԱՇԽՈՒՄ ԵՎ ՓՈՓՈԽՈՒԹՅՈՒՆՆԵՐ ԵՎ ԼՐԱՑՈՒՄՆԵՐ ԿԱՏԱՐԵԼՈՒ</w:t>
      </w:r>
      <w:r w:rsidRPr="00EF64E0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9D292F" w:rsidRPr="00EF64E0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="009D292F" w:rsidRPr="009D292F">
        <w:rPr>
          <w:rFonts w:ascii="GHEA Grapalat" w:hAnsi="GHEA Grapalat" w:cs="Sylfaen"/>
          <w:b/>
          <w:sz w:val="22"/>
          <w:szCs w:val="22"/>
          <w:lang w:val="hy-AM"/>
        </w:rPr>
        <w:t xml:space="preserve"> ՀԱՅԱՍՏԱՆԻ ՀԱՆՐԱՊԵՏՈՒԹՅԱՆ ԿԱՌԱՎԱՐՈՒԹՅԱՆ 2019 ԹՎԱԿԱՆԻ ԴԵԿՏԵՄԲԵՐԻ 26-Ի N 1919-Ն ՈՐՈՇՄԱՆ ՄԵՋ ՓՈՓՈԽՈՒԹՅՈՒՆՆԵՐ </w:t>
      </w:r>
      <w:r w:rsidR="009D292F" w:rsidRPr="00EF64E0">
        <w:rPr>
          <w:rFonts w:ascii="GHEA Grapalat" w:hAnsi="GHEA Grapalat" w:cs="Sylfaen"/>
          <w:b/>
          <w:sz w:val="22"/>
          <w:szCs w:val="22"/>
          <w:lang w:val="hy-AM"/>
        </w:rPr>
        <w:t>ԵՎ</w:t>
      </w:r>
      <w:r w:rsidR="009D292F" w:rsidRPr="009D292F">
        <w:rPr>
          <w:rFonts w:ascii="GHEA Grapalat" w:hAnsi="GHEA Grapalat" w:cs="Sylfaen"/>
          <w:b/>
          <w:sz w:val="22"/>
          <w:szCs w:val="22"/>
          <w:lang w:val="hy-AM"/>
        </w:rPr>
        <w:t xml:space="preserve"> ԼՐԱՑՈՒՄՆԵՐ ԿԱՏԱՐԵԼՈՒ ՄԱՍԻՆ» ՀՀ ԿԱՌԱՎԱՐՈՒԹՅԱՆ ՈՐՈՇՄԱՆ ՆԱԽԱԳԾԻ ՎԵՐԱԲԵՐՅԱԼ </w:t>
      </w:r>
      <w:r w:rsidR="009D292F" w:rsidRPr="00EF64E0">
        <w:rPr>
          <w:rFonts w:ascii="GHEA Grapalat" w:hAnsi="GHEA Grapalat" w:cs="Sylfaen"/>
          <w:b/>
          <w:sz w:val="22"/>
          <w:szCs w:val="22"/>
          <w:lang w:val="hy-AM"/>
        </w:rPr>
        <w:t>ՇԱՀԱԳՐԳԻՌ ՄԱՐՄԻՆՆԵՐԻ ՆԵՐԿԱՅԱՑՐԱԾ ԴԻՏՈՂՈՒԹՅՈՒՆՆԵՐԻ ԵՎ ԱՌԱՋԱՐԿՈՒԹՅՈՒՆՆՆԵՐԻ ՄԱՍԻՆ</w:t>
      </w:r>
    </w:p>
    <w:p w:rsidR="00760B07" w:rsidRPr="00C2149B" w:rsidRDefault="00760B07" w:rsidP="00760B07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142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232"/>
        <w:gridCol w:w="6217"/>
        <w:gridCol w:w="2160"/>
        <w:gridCol w:w="3240"/>
      </w:tblGrid>
      <w:tr w:rsidR="00760B07" w:rsidRPr="00C2149B" w:rsidTr="009D29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 w:rsidP="009D292F">
            <w:pPr>
              <w:spacing w:line="276" w:lineRule="auto"/>
              <w:ind w:right="-52"/>
              <w:rPr>
                <w:rFonts w:ascii="GHEA Grapalat" w:hAnsi="GHEA Grapalat"/>
                <w:sz w:val="22"/>
                <w:szCs w:val="22"/>
              </w:rPr>
            </w:pPr>
            <w:r w:rsidRPr="00C2149B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56275C" w:rsidRDefault="00760B0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r w:rsidR="00EF64E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r w:rsidRPr="0056275C">
              <w:rPr>
                <w:rFonts w:ascii="GHEA Grapalat" w:hAnsi="GHEA Grapalat"/>
                <w:b/>
                <w:sz w:val="22"/>
                <w:szCs w:val="22"/>
              </w:rPr>
              <w:t>¸</w:t>
            </w:r>
          </w:p>
          <w:p w:rsidR="00760B07" w:rsidRPr="00C2149B" w:rsidRDefault="00EF64E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գ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րության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ամսաթիվը</w:t>
            </w:r>
            <w:r w:rsidR="00760B07" w:rsidRPr="0056275C"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համարը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7" w:rsidRPr="00C2149B" w:rsidRDefault="00760B07">
            <w:pPr>
              <w:jc w:val="center"/>
              <w:rPr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r w:rsidR="00EF64E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</w:p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="00EF64E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60B07" w:rsidRPr="00C2149B" w:rsidTr="009D29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AF411D" w:rsidRPr="00AE56AD" w:rsidTr="009D29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1D" w:rsidRPr="00C2149B" w:rsidRDefault="00AF411D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C2149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1D" w:rsidRPr="00AE56AD" w:rsidRDefault="00AF411D" w:rsidP="00AE56AD">
            <w:pPr>
              <w:rPr>
                <w:rFonts w:ascii="Sylfaen" w:hAnsi="Sylfaen"/>
                <w:sz w:val="22"/>
                <w:szCs w:val="22"/>
              </w:rPr>
            </w:pP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ֆինանսների</w:t>
            </w:r>
            <w:r w:rsidRPr="00AE56AD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նախարարությ</w:t>
            </w:r>
            <w:r w:rsidR="00AE56AD" w:rsidRPr="00AE56AD">
              <w:rPr>
                <w:rFonts w:ascii="GHEA Grapalat" w:hAnsi="GHEA Grapalat"/>
                <w:sz w:val="22"/>
                <w:szCs w:val="22"/>
                <w:lang w:val="fr-FR"/>
              </w:rPr>
              <w:t>ա</w:t>
            </w:r>
            <w:r w:rsidRPr="0056275C">
              <w:rPr>
                <w:rFonts w:ascii="GHEA Grapalat" w:hAnsi="GHEA Grapalat"/>
                <w:sz w:val="22"/>
                <w:szCs w:val="22"/>
                <w:lang w:val="fr-FR"/>
              </w:rPr>
              <w:t>ն</w:t>
            </w:r>
            <w:r w:rsidR="00AE56AD" w:rsidRPr="00AE56AD">
              <w:rPr>
                <w:rFonts w:ascii="GHEA Grapalat" w:hAnsi="GHEA Grapalat"/>
                <w:sz w:val="22"/>
                <w:szCs w:val="22"/>
                <w:lang w:val="fr-FR"/>
              </w:rPr>
              <w:t xml:space="preserve"> 31.10.2020թ. N</w:t>
            </w:r>
            <w:r w:rsidR="00AE56AD" w:rsidRPr="00AE56AD">
              <w:rPr>
                <w:rFonts w:ascii="GHEA Grapalat" w:hAnsi="GHEA Grapalat"/>
                <w:sz w:val="22"/>
                <w:szCs w:val="22"/>
                <w:lang w:val="fr-FR"/>
              </w:rPr>
              <w:t>01/8-4/16378-2020</w:t>
            </w:r>
            <w:r w:rsidR="00AE56AD" w:rsidRPr="00AE56AD">
              <w:rPr>
                <w:rFonts w:ascii="GHEA Grapalat" w:hAnsi="GHEA Grapalat"/>
                <w:sz w:val="22"/>
                <w:szCs w:val="22"/>
                <w:lang w:val="fr-FR"/>
              </w:rPr>
              <w:t xml:space="preserve"> գրություն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F" w:rsidRPr="009D292F" w:rsidRDefault="009D292F" w:rsidP="009D292F">
            <w:pPr>
              <w:ind w:firstLine="562"/>
              <w:jc w:val="both"/>
              <w:rPr>
                <w:rFonts w:ascii="GHEA Grapalat" w:eastAsia="Calibri" w:hAnsi="GHEA Grapalat"/>
                <w:sz w:val="22"/>
              </w:rPr>
            </w:pP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Քննարկելով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Ձեր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28.10.2020թ-ի N ՍՊ/23.1/30228-2020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գրությամբ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ներկայացված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>՝ «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Հայաստանի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Հանրապետության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2020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թվականի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պետական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բյուջեում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վերաբաշխում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և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Հայաստանի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Հանրապետության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2019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թվականի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դեկտեմբերի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26-ի N 1919-Ն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որոշման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մեջ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փոփոխություններ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և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լրացումներ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կատարելու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մասին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»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որոշման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նախագիծը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(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այսուհետ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՝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Նախագիծ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)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առաջարկվում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է «1049.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Ճանապարհային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ցանցի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բարելավում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»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ծրագրի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՝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պատվիրատվությամբ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նախատեսված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«21001.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Պետական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նշանակության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ավտոճանապարհների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հիմնանորոգում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»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միջոցառման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գծով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չբաշխված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միջոցներից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մնացորդային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44,004.3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հազար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դրամը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ինչպես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նաև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նույն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proofErr w:type="gramStart"/>
            <w:r w:rsidRPr="009D292F">
              <w:rPr>
                <w:rFonts w:ascii="GHEA Grapalat" w:eastAsia="Calibri" w:hAnsi="GHEA Grapalat"/>
                <w:sz w:val="22"/>
              </w:rPr>
              <w:t>ծրագրի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 «</w:t>
            </w:r>
            <w:proofErr w:type="gramEnd"/>
            <w:r w:rsidRPr="009D292F">
              <w:rPr>
                <w:rFonts w:ascii="GHEA Grapalat" w:eastAsia="Calibri" w:hAnsi="GHEA Grapalat"/>
                <w:sz w:val="22"/>
              </w:rPr>
              <w:t xml:space="preserve">21011.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Ասիական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զարգացման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բանկի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աջակցությամբ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իրականացվող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Հյուսիս-հարավ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միջանցքի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զարգացման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վարկային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ծրագիր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,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Տրանշ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3»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միջոցառման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գծով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համաֆինանսավորման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մասով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հատկացված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գումարներից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416005.7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հազար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դրամը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վերաբաշխել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և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այն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ուղղել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2021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թվականին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հիմնանորոգման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ենթակա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օբյեկտների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նախագծանախահաշվային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փաստաթղթերի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ձեռք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բերմանը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առաջարկում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ենք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>.</w:t>
            </w:r>
          </w:p>
          <w:p w:rsidR="009D292F" w:rsidRPr="00AE56AD" w:rsidRDefault="009D292F" w:rsidP="009D292F">
            <w:pPr>
              <w:ind w:firstLine="562"/>
              <w:jc w:val="both"/>
              <w:rPr>
                <w:rFonts w:ascii="GHEA Grapalat" w:eastAsia="Calibri" w:hAnsi="GHEA Grapalat"/>
                <w:sz w:val="22"/>
              </w:rPr>
            </w:pPr>
            <w:r w:rsidRPr="009D292F">
              <w:rPr>
                <w:rFonts w:ascii="GHEA Grapalat" w:eastAsia="Calibri" w:hAnsi="GHEA Grapalat"/>
                <w:sz w:val="22"/>
              </w:rPr>
              <w:lastRenderedPageBreak/>
              <w:t xml:space="preserve">ա)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ելնելով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աշխատանքների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իրականացման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առաջնահերթություններից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,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ինչպես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նաև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հաշվի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առնելով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Հայաստանի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Հանրապետությունում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հայտարարված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ռազմական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դրությունը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քննարկել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վերը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նշված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գումարը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2020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թվականի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պետական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բյուջեով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նախատեսված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պահուստային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ֆոնդ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ուղղելու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հնարավորության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հարցը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</w:p>
          <w:p w:rsidR="000D11BB" w:rsidRPr="00AE56AD" w:rsidRDefault="000D11BB" w:rsidP="009D292F">
            <w:pPr>
              <w:ind w:firstLine="562"/>
              <w:jc w:val="both"/>
              <w:rPr>
                <w:rFonts w:ascii="GHEA Grapalat" w:eastAsia="Calibri" w:hAnsi="GHEA Grapalat"/>
                <w:sz w:val="22"/>
              </w:rPr>
            </w:pPr>
          </w:p>
          <w:p w:rsidR="009D292F" w:rsidRPr="009D292F" w:rsidRDefault="009D292F" w:rsidP="009D292F">
            <w:pPr>
              <w:ind w:firstLine="562"/>
              <w:jc w:val="both"/>
              <w:rPr>
                <w:rFonts w:ascii="GHEA Grapalat" w:eastAsia="Calibri" w:hAnsi="GHEA Grapalat"/>
                <w:sz w:val="22"/>
              </w:rPr>
            </w:pPr>
            <w:r w:rsidRPr="009D292F">
              <w:rPr>
                <w:rFonts w:ascii="GHEA Grapalat" w:eastAsia="Calibri" w:hAnsi="GHEA Grapalat"/>
                <w:sz w:val="22"/>
              </w:rPr>
              <w:t xml:space="preserve">բ)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օտարերկրյա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պետությունների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և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միջազգային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կազմակերպությունների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կողմից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Հայաստանի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Հանրապետությանը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տրամադրված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նպատակային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վարկերի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և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դրամաշնորհների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հաշվին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իրականացվելիք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միջոցառումների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գծով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համաֆինանսավորման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մասով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հատկացված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միջոցներից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նվազեցումներ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կատարելու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հետ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զուգահեռ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կառավարություն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ներկայացնել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նշված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միջոցառումների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արտաքին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հատվածի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մասով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նվազեցումներ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իրականացնելու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վերաբերյալ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առաջարկության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՝ 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որոշման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նախագծի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տեսքով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></w:t>
            </w:r>
          </w:p>
          <w:p w:rsidR="009D292F" w:rsidRPr="009D292F" w:rsidRDefault="009D292F" w:rsidP="009D292F">
            <w:pPr>
              <w:ind w:firstLine="562"/>
              <w:jc w:val="both"/>
              <w:rPr>
                <w:rFonts w:ascii="GHEA Grapalat" w:eastAsia="Calibri" w:hAnsi="GHEA Grapalat"/>
                <w:sz w:val="22"/>
              </w:rPr>
            </w:pPr>
            <w:r w:rsidRPr="009D292F">
              <w:rPr>
                <w:rFonts w:ascii="GHEA Grapalat" w:eastAsia="Calibri" w:hAnsi="GHEA Grapalat"/>
                <w:sz w:val="22"/>
              </w:rPr>
              <w:t xml:space="preserve">գ)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Նախագծով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ներկայացված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6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համայնքային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նշանակության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ճանապարհահատվածների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(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մասնավորապես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՝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Գեղարքունիքի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մարզի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Մարտունի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քաղաքի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1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Տավուշի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մարզի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Իջևան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քաղաքի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1 և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Կոտայքի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մարզի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Հրազդան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քաղաքի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թվով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4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փողոցներ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)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նախագծանախահաշվային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փաստաթղթերի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ձեռք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բերման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իսկ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հետագայում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վերջիններիս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գծով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հիմնանորոգման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աշխատանքների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իրականացման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հարցը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քննարկել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համայնքներին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ենթակառուցվածքների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զարգացման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նպատակով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համաֆինանսավորման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սկզբունքով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տրամադրվող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սուբվենցիաների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շրջանակներում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>։</w:t>
            </w:r>
          </w:p>
          <w:p w:rsidR="009D292F" w:rsidRPr="009D292F" w:rsidRDefault="009D292F" w:rsidP="009D292F">
            <w:pPr>
              <w:ind w:firstLine="562"/>
              <w:jc w:val="both"/>
              <w:rPr>
                <w:rFonts w:ascii="GHEA Grapalat" w:eastAsia="Calibri" w:hAnsi="GHEA Grapalat"/>
                <w:sz w:val="22"/>
              </w:rPr>
            </w:pP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Միաժամանակ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հայտնում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ենք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վարչապետի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որոշմամբ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ստեղծված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սուբվենցիայի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ծրագրերի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գնահատման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միջգերատեսչական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հանձնաժողովի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կողմից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2020թ-ին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դրական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եզրակացություն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է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ստացել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Կոտայքի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մարզի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Հրազդան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քաղաքի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«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Ներհամայնքային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ճանապարհների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ասֆալտապատման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աշխատանքների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lastRenderedPageBreak/>
              <w:t>կազմակերպում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»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ծրագրային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հայտը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՝ 207,456.0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հազար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դրամ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արժեքով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որի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մասով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ՀՀ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տարածքային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կառավարման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և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ենթակառուցվածքների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նախարարության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կողմից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դեռևս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առաջարկություն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չի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ստացվել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։ </w:t>
            </w:r>
          </w:p>
          <w:p w:rsidR="00AF411D" w:rsidRPr="00282361" w:rsidRDefault="009D292F" w:rsidP="009D292F">
            <w:pPr>
              <w:ind w:firstLine="562"/>
              <w:jc w:val="both"/>
              <w:rPr>
                <w:rFonts w:ascii="GHEA Grapalat" w:hAnsi="GHEA Grapalat"/>
                <w:lang w:val="hy-AM"/>
              </w:rPr>
            </w:pPr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Բացի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այդ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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Նախագծին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կից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ներկայացված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չեն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Նախագծի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N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N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2 և 5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հավելվածում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ընդգրկված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օբյեկտների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ֆինանսական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գնահատականների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համապատասխան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 xml:space="preserve"> </w:t>
            </w:r>
            <w:proofErr w:type="spellStart"/>
            <w:r w:rsidRPr="009D292F">
              <w:rPr>
                <w:rFonts w:ascii="GHEA Grapalat" w:eastAsia="Calibri" w:hAnsi="GHEA Grapalat"/>
                <w:sz w:val="22"/>
              </w:rPr>
              <w:t>հաշվարկ-հիմնավորումները</w:t>
            </w:r>
            <w:proofErr w:type="spellEnd"/>
            <w:r w:rsidRPr="009D292F">
              <w:rPr>
                <w:rFonts w:ascii="GHEA Grapalat" w:eastAsia="Calibri" w:hAnsi="GHEA Grapalat"/>
                <w:sz w:val="22"/>
              </w:rPr>
              <w:t>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AF411D" w:rsidRPr="00AE56AD" w:rsidRDefault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Pr="00AE56AD">
              <w:rPr>
                <w:rFonts w:ascii="GHEA Grapalat" w:hAnsi="GHEA Grapalat" w:cs="Sylfaen"/>
                <w:sz w:val="22"/>
                <w:szCs w:val="22"/>
              </w:rPr>
              <w:t xml:space="preserve">/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ել</w:t>
            </w:r>
            <w:proofErr w:type="spellEnd"/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բ</w:t>
            </w:r>
            <w:r w:rsidRPr="00AE56AD">
              <w:rPr>
                <w:rFonts w:ascii="GHEA Grapalat" w:hAnsi="GHEA Grapalat" w:cs="Sylfaen"/>
                <w:sz w:val="22"/>
                <w:szCs w:val="22"/>
              </w:rPr>
              <w:t xml:space="preserve">/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նդունվ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ել</w:t>
            </w:r>
            <w:proofErr w:type="spellEnd"/>
            <w:r w:rsidRPr="00AE56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է</w:t>
            </w:r>
            <w:r w:rsidRPr="00AE56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AE56A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գիտություն</w:t>
            </w:r>
            <w:proofErr w:type="spellEnd"/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գ</w:t>
            </w:r>
            <w:r w:rsidRPr="000D11BB">
              <w:rPr>
                <w:rFonts w:ascii="GHEA Grapalat" w:hAnsi="GHEA Grapalat" w:cs="Sylfaen"/>
                <w:sz w:val="22"/>
                <w:szCs w:val="22"/>
              </w:rPr>
              <w:t xml:space="preserve">/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ել</w:t>
            </w:r>
            <w:proofErr w:type="spellEnd"/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ա/ Նշված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հիմնանորոգման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աշխատանքներն ընդգրկված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2021 թվականի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բյուջեի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միջոցներով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իրականացվող աշխատանքներում:</w:t>
            </w: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գ/ Նշված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թվով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6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փողոցների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հիմնանորոգման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աշխատանքները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իրականացնել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բյուջեի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միջոցով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քանի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որ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դրանք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խիստ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անհրաժեշտ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հիմնանորոգման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համայնքային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բյուջեով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հնարավոր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չէ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2021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Pr="000D11BB">
              <w:rPr>
                <w:rFonts w:ascii="GHEA Grapalat" w:eastAsia="MS Mincho" w:hAnsi="GHEA Grapalat" w:cs="MS Mincho" w:hint="eastAsia"/>
                <w:sz w:val="22"/>
                <w:szCs w:val="22"/>
                <w:lang w:val="hy-AM"/>
              </w:rPr>
              <w:t>․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իրականացնել։</w:t>
            </w: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AE56AD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F411D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հիմնավորումները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ներկայացվում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կից</w:t>
            </w:r>
            <w:r w:rsidRPr="000D11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ցանկով։</w:t>
            </w:r>
          </w:p>
        </w:tc>
      </w:tr>
      <w:tr w:rsidR="00AF411D" w:rsidRPr="00862E4B" w:rsidTr="009D292F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1D" w:rsidRPr="00C2149B" w:rsidRDefault="00AF411D" w:rsidP="009D292F">
            <w:pPr>
              <w:spacing w:line="276" w:lineRule="auto"/>
              <w:ind w:right="-52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</w:t>
            </w:r>
            <w:r w:rsidRPr="00C2149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1D" w:rsidRPr="00F2544C" w:rsidRDefault="00AF411D" w:rsidP="00AE56AD">
            <w:pPr>
              <w:ind w:right="-88"/>
              <w:rPr>
                <w:rFonts w:ascii="GHEA Grapalat" w:hAnsi="GHEA Grapalat"/>
              </w:rPr>
            </w:pPr>
            <w:r w:rsidRPr="009D292F">
              <w:rPr>
                <w:rFonts w:ascii="GHEA Grapalat" w:hAnsi="GHEA Grapalat"/>
                <w:sz w:val="22"/>
                <w:lang w:val="fr-FR"/>
              </w:rPr>
              <w:t>ՀՀ</w:t>
            </w:r>
            <w:r w:rsidRPr="009D292F">
              <w:rPr>
                <w:rFonts w:ascii="GHEA Grapalat" w:hAnsi="GHEA Grapalat"/>
                <w:sz w:val="22"/>
                <w:lang w:val="hy-AM"/>
              </w:rPr>
              <w:t xml:space="preserve"> </w:t>
            </w:r>
            <w:bookmarkStart w:id="0" w:name="_GoBack"/>
            <w:bookmarkEnd w:id="0"/>
            <w:r w:rsidRPr="009D292F">
              <w:rPr>
                <w:rFonts w:ascii="GHEA Grapalat" w:hAnsi="GHEA Grapalat"/>
                <w:sz w:val="22"/>
                <w:lang w:val="hy-AM"/>
              </w:rPr>
              <w:t xml:space="preserve">արդարադատության </w:t>
            </w:r>
            <w:r w:rsidRPr="009D292F">
              <w:rPr>
                <w:rFonts w:ascii="GHEA Grapalat" w:hAnsi="GHEA Grapalat"/>
                <w:sz w:val="22"/>
                <w:lang w:val="fr-FR"/>
              </w:rPr>
              <w:t>նախարարությ</w:t>
            </w:r>
            <w:r w:rsidRPr="009D292F">
              <w:rPr>
                <w:rFonts w:ascii="GHEA Grapalat" w:hAnsi="GHEA Grapalat"/>
                <w:sz w:val="22"/>
                <w:lang w:val="hy-AM"/>
              </w:rPr>
              <w:t>ու</w:t>
            </w:r>
            <w:r w:rsidRPr="009D292F">
              <w:rPr>
                <w:rFonts w:ascii="GHEA Grapalat" w:hAnsi="GHEA Grapalat"/>
                <w:sz w:val="22"/>
                <w:lang w:val="fr-FR"/>
              </w:rPr>
              <w:t>ն</w:t>
            </w:r>
            <w:r w:rsidR="00AE56AD" w:rsidRPr="00AE56AD">
              <w:rPr>
                <w:rFonts w:ascii="GHEA Grapalat" w:hAnsi="GHEA Grapalat"/>
                <w:sz w:val="22"/>
              </w:rPr>
              <w:t xml:space="preserve"> </w:t>
            </w:r>
            <w:r w:rsidR="00AE56AD" w:rsidRPr="00AE56AD">
              <w:rPr>
                <w:rFonts w:ascii="GHEA Grapalat" w:hAnsi="GHEA Grapalat"/>
                <w:sz w:val="22"/>
                <w:szCs w:val="22"/>
                <w:lang w:val="fr-FR"/>
              </w:rPr>
              <w:t>3</w:t>
            </w:r>
            <w:r w:rsidR="00AE56AD" w:rsidRPr="00AE56AD">
              <w:rPr>
                <w:rFonts w:ascii="GHEA Grapalat" w:hAnsi="GHEA Grapalat"/>
                <w:sz w:val="22"/>
                <w:szCs w:val="22"/>
              </w:rPr>
              <w:t>0</w:t>
            </w:r>
            <w:r w:rsidR="00AE56AD" w:rsidRPr="00AE56AD">
              <w:rPr>
                <w:rFonts w:ascii="GHEA Grapalat" w:hAnsi="GHEA Grapalat"/>
                <w:sz w:val="22"/>
                <w:szCs w:val="22"/>
                <w:lang w:val="fr-FR"/>
              </w:rPr>
              <w:t>.</w:t>
            </w:r>
            <w:r w:rsidR="00AE56AD" w:rsidRPr="00AE56AD">
              <w:rPr>
                <w:rFonts w:ascii="GHEA Grapalat" w:hAnsi="GHEA Grapalat"/>
                <w:sz w:val="22"/>
                <w:lang w:val="fr-FR"/>
              </w:rPr>
              <w:t>10.2020թ. N01/27.1/24393-2020</w:t>
            </w:r>
            <w:r w:rsidR="00AE56AD" w:rsidRPr="00AE56AD">
              <w:rPr>
                <w:rFonts w:ascii="GHEA Grapalat" w:hAnsi="GHEA Grapalat"/>
                <w:sz w:val="22"/>
                <w:lang w:val="fr-FR"/>
              </w:rPr>
              <w:t xml:space="preserve"> </w:t>
            </w:r>
            <w:r w:rsidR="00AE56AD" w:rsidRPr="00AE56AD">
              <w:rPr>
                <w:rFonts w:ascii="GHEA Grapalat" w:hAnsi="GHEA Grapalat"/>
                <w:sz w:val="22"/>
                <w:lang w:val="fr-FR"/>
              </w:rPr>
              <w:t>գրություն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D" w:rsidRPr="009D292F" w:rsidRDefault="001542BE" w:rsidP="001542BE">
            <w:pPr>
              <w:tabs>
                <w:tab w:val="left" w:pos="270"/>
                <w:tab w:val="left" w:pos="540"/>
                <w:tab w:val="left" w:pos="720"/>
              </w:tabs>
              <w:jc w:val="both"/>
              <w:rPr>
                <w:rFonts w:ascii="GHEA Grapalat" w:hAnsi="GHEA Grapalat"/>
                <w:lang w:val="af-ZA"/>
              </w:rPr>
            </w:pPr>
            <w:r w:rsidRPr="001542BE">
              <w:rPr>
                <w:rFonts w:ascii="GHEA Grapalat" w:eastAsia="Calibri" w:hAnsi="GHEA Grapalat"/>
                <w:sz w:val="22"/>
              </w:rPr>
              <w:t>Նախագծի վերնագրում «ՀԱՅԱՍՏԱՆԻ ՀԱՆՐԱՊԵՏՈՒԹՅԱՆ 2020 ԹՎԱԿԱՆԻ ՊԵՏԱԿԱՆ ԲՅՈՒՋԵՈՒՄ ՎԵՐԱԲԱՇԽՈՒՄ» բառերն անհրաժեշտ է փոխարինել ««ՀԱՅԱՍՏԱՆԻ ՀԱՆՐԱՊԵՏՈՒԹՅԱՆ 2020 ԹՎԱԿԱՆԻ ՊԵՏԱԿԱՆ ԲՅՈՒՋԵԻ ՄԱՍԻՆ» ՕՐԵՆՔՈՒՄ ՎԵՐԱԲԱՇԽՈՒՄ ԵՎ ՓՈՓՈԽՈՒԹՅՈՒՆՆԵՐ ԵՎ ԼՐԱՑՈՒՄՆԵՐ ԿԱՏԱՐԵԼՈՒ» բառերով՝ նկատի ունենալով նախագծի 1-ին կետի, նախագծով հաստատվող հավելված N1-ի, N2-ի, N3-ի և «Նորմատիվ իրավական ակտերի մասին» ՀՀ օրենքի 12-րդ հոդվածի պահանջները:</w:t>
            </w:r>
            <w:r w:rsidRPr="0056319E">
              <w:rPr>
                <w:rFonts w:ascii="GHEA Grapalat" w:hAnsi="GHEA Grapalat"/>
                <w:lang w:val="hy-AM"/>
              </w:rPr>
              <w:t xml:space="preserve">   </w:t>
            </w:r>
            <w:r w:rsidRPr="0056319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D" w:rsidRPr="001542BE" w:rsidRDefault="001542BE" w:rsidP="001542B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1D" w:rsidRPr="001542BE" w:rsidRDefault="001542B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Կատարվել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են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ru-RU"/>
              </w:rPr>
              <w:t>փոփոխություններ</w:t>
            </w:r>
            <w:proofErr w:type="spellEnd"/>
          </w:p>
        </w:tc>
      </w:tr>
    </w:tbl>
    <w:p w:rsidR="00BB4ADB" w:rsidRDefault="00BB4ADB" w:rsidP="00760B07">
      <w:pPr>
        <w:rPr>
          <w:rFonts w:ascii="GHEA Grapalat" w:hAnsi="GHEA Grapalat"/>
          <w:sz w:val="22"/>
          <w:szCs w:val="22"/>
          <w:lang w:val="fr-FR"/>
        </w:rPr>
      </w:pPr>
    </w:p>
    <w:p w:rsidR="00CC4922" w:rsidRPr="00862E4B" w:rsidRDefault="00CC4922">
      <w:pPr>
        <w:rPr>
          <w:sz w:val="22"/>
          <w:szCs w:val="22"/>
          <w:lang w:val="hy-AM"/>
        </w:rPr>
      </w:pPr>
    </w:p>
    <w:sectPr w:rsidR="00CC4922" w:rsidRPr="00862E4B" w:rsidSect="00927FF8">
      <w:pgSz w:w="15840" w:h="12240" w:orient="landscape"/>
      <w:pgMar w:top="45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9A"/>
    <w:multiLevelType w:val="hybridMultilevel"/>
    <w:tmpl w:val="21784D42"/>
    <w:lvl w:ilvl="0" w:tplc="64A81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2149B"/>
    <w:rsid w:val="000D11BB"/>
    <w:rsid w:val="000E0DAD"/>
    <w:rsid w:val="000E2A2C"/>
    <w:rsid w:val="000E5FD0"/>
    <w:rsid w:val="001542BE"/>
    <w:rsid w:val="00173F58"/>
    <w:rsid w:val="001C4820"/>
    <w:rsid w:val="001E0597"/>
    <w:rsid w:val="00217FDA"/>
    <w:rsid w:val="00235AB7"/>
    <w:rsid w:val="00282361"/>
    <w:rsid w:val="00333325"/>
    <w:rsid w:val="00384B03"/>
    <w:rsid w:val="00396790"/>
    <w:rsid w:val="003B0C17"/>
    <w:rsid w:val="0050383B"/>
    <w:rsid w:val="0056275C"/>
    <w:rsid w:val="00623F0A"/>
    <w:rsid w:val="006359C3"/>
    <w:rsid w:val="006452F9"/>
    <w:rsid w:val="00716610"/>
    <w:rsid w:val="00743061"/>
    <w:rsid w:val="00760B07"/>
    <w:rsid w:val="007D3F4A"/>
    <w:rsid w:val="007E7501"/>
    <w:rsid w:val="008057B7"/>
    <w:rsid w:val="00846045"/>
    <w:rsid w:val="00862E4B"/>
    <w:rsid w:val="008E3384"/>
    <w:rsid w:val="008F13A4"/>
    <w:rsid w:val="00902867"/>
    <w:rsid w:val="00927FF8"/>
    <w:rsid w:val="009D292F"/>
    <w:rsid w:val="009D685B"/>
    <w:rsid w:val="00A107B6"/>
    <w:rsid w:val="00A33CD1"/>
    <w:rsid w:val="00A3416E"/>
    <w:rsid w:val="00A9344C"/>
    <w:rsid w:val="00AA508A"/>
    <w:rsid w:val="00AB0F1E"/>
    <w:rsid w:val="00AD190E"/>
    <w:rsid w:val="00AE56AD"/>
    <w:rsid w:val="00AF411D"/>
    <w:rsid w:val="00B20482"/>
    <w:rsid w:val="00B626BE"/>
    <w:rsid w:val="00BB4ADB"/>
    <w:rsid w:val="00C212E2"/>
    <w:rsid w:val="00C2149B"/>
    <w:rsid w:val="00C95992"/>
    <w:rsid w:val="00CC4922"/>
    <w:rsid w:val="00D650AB"/>
    <w:rsid w:val="00E14B39"/>
    <w:rsid w:val="00E70096"/>
    <w:rsid w:val="00EF64E0"/>
    <w:rsid w:val="00F2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a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a3">
    <w:name w:val="header"/>
    <w:basedOn w:val="a"/>
    <w:link w:val="a4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a5">
    <w:name w:val="List Paragraph"/>
    <w:aliases w:val="Akapit z listą BS,List Paragraph 1"/>
    <w:basedOn w:val="a"/>
    <w:link w:val="a6"/>
    <w:uiPriority w:val="34"/>
    <w:qFormat/>
    <w:rsid w:val="00AF4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Абзац списка Знак"/>
    <w:aliases w:val="Akapit z listą BS Знак,List Paragraph 1 Знак"/>
    <w:link w:val="a5"/>
    <w:uiPriority w:val="34"/>
    <w:locked/>
    <w:rsid w:val="00AF411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378F-746A-40E1-A5C0-DFD95263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134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dcterms:created xsi:type="dcterms:W3CDTF">2017-06-21T12:31:00Z</dcterms:created>
  <dcterms:modified xsi:type="dcterms:W3CDTF">2020-11-02T15:01:00Z</dcterms:modified>
</cp:coreProperties>
</file>