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4819D" w14:textId="77777777" w:rsidR="00437DE1" w:rsidRPr="00C05A9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ԱՄՓՈՓԱԹԵՐԹ</w:t>
      </w:r>
    </w:p>
    <w:p w14:paraId="6F2D4836" w14:textId="77777777" w:rsidR="00437DE1" w:rsidRPr="00C05A98" w:rsidRDefault="000A71EA"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 xml:space="preserve">Հայաստանի Հանրապետության և Եվրոպական հանձնաժողովի միջև «Աջակցություն Հայաստանում դատական ոլորտի բարեփոխումների իրականացմանը. Փուլ I» ֆինանսավորման համաձայնագրի </w:t>
      </w:r>
      <w:r w:rsidR="007D37E9" w:rsidRPr="00C05A98">
        <w:rPr>
          <w:rFonts w:ascii="GHEA Grapalat" w:hAnsi="GHEA Grapalat" w:cs="Sylfaen"/>
          <w:b/>
          <w:color w:val="000000"/>
          <w:lang w:val="hy-AM"/>
        </w:rPr>
        <w:t>նախագծի</w:t>
      </w:r>
      <w:r w:rsidR="009E609A" w:rsidRPr="00C05A98">
        <w:rPr>
          <w:rFonts w:ascii="GHEA Grapalat" w:hAnsi="GHEA Grapalat" w:cs="Sylfaen"/>
          <w:b/>
          <w:color w:val="000000"/>
          <w:lang w:val="hy-AM"/>
        </w:rPr>
        <w:t xml:space="preserve"> </w:t>
      </w:r>
      <w:r w:rsidR="00437DE1" w:rsidRPr="00C05A98">
        <w:rPr>
          <w:rFonts w:ascii="GHEA Grapalat" w:hAnsi="GHEA Grapalat" w:cs="Sylfaen"/>
          <w:b/>
          <w:color w:val="000000"/>
          <w:lang w:val="hy-AM"/>
        </w:rPr>
        <w:t xml:space="preserve">վերաբերյալ ներկայացված առաջարկությունների </w:t>
      </w:r>
      <w:r w:rsidR="004247F2" w:rsidRPr="00C05A98">
        <w:rPr>
          <w:rFonts w:ascii="GHEA Grapalat" w:hAnsi="GHEA Grapalat" w:cs="Sylfaen"/>
          <w:b/>
          <w:color w:val="000000"/>
          <w:lang w:val="hy-AM"/>
        </w:rPr>
        <w:t>և</w:t>
      </w:r>
      <w:r w:rsidR="00437DE1" w:rsidRPr="00C05A98">
        <w:rPr>
          <w:rFonts w:ascii="GHEA Grapalat" w:hAnsi="GHEA Grapalat" w:cs="Sylfaen"/>
          <w:b/>
          <w:color w:val="000000"/>
          <w:lang w:val="hy-AM"/>
        </w:rPr>
        <w:t xml:space="preserve"> դիտողությունների </w:t>
      </w:r>
    </w:p>
    <w:p w14:paraId="37383A33" w14:textId="77777777" w:rsidR="00437DE1" w:rsidRPr="00C05A9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p>
    <w:tbl>
      <w:tblPr>
        <w:tblW w:w="14743"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8363"/>
        <w:gridCol w:w="3544"/>
      </w:tblGrid>
      <w:tr w:rsidR="00437DE1" w:rsidRPr="00C05A98" w14:paraId="4B8620BB" w14:textId="77777777" w:rsidTr="000A71EA">
        <w:trPr>
          <w:trHeight w:val="1514"/>
        </w:trPr>
        <w:tc>
          <w:tcPr>
            <w:tcW w:w="2836" w:type="dxa"/>
            <w:tcBorders>
              <w:top w:val="single" w:sz="4" w:space="0" w:color="auto"/>
              <w:bottom w:val="single" w:sz="4" w:space="0" w:color="auto"/>
              <w:right w:val="single" w:sz="4" w:space="0" w:color="auto"/>
            </w:tcBorders>
            <w:vAlign w:val="center"/>
          </w:tcPr>
          <w:p w14:paraId="031D96AA" w14:textId="77777777" w:rsidR="00437DE1" w:rsidRPr="00C05A9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Շահագրգիռ գերատեսչություն</w:t>
            </w:r>
          </w:p>
        </w:tc>
        <w:tc>
          <w:tcPr>
            <w:tcW w:w="8363" w:type="dxa"/>
            <w:tcBorders>
              <w:top w:val="single" w:sz="4" w:space="0" w:color="auto"/>
              <w:left w:val="single" w:sz="4" w:space="0" w:color="auto"/>
              <w:bottom w:val="single" w:sz="4" w:space="0" w:color="auto"/>
            </w:tcBorders>
            <w:vAlign w:val="center"/>
          </w:tcPr>
          <w:p w14:paraId="2129ACF6" w14:textId="77777777" w:rsidR="00437DE1" w:rsidRPr="00C05A98" w:rsidRDefault="00437DE1" w:rsidP="00FE5474">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Ներկայացված առաջարկությունները և դիտողությունները</w:t>
            </w:r>
          </w:p>
        </w:tc>
        <w:tc>
          <w:tcPr>
            <w:tcW w:w="3544" w:type="dxa"/>
            <w:tcBorders>
              <w:top w:val="single" w:sz="4" w:space="0" w:color="auto"/>
              <w:left w:val="single" w:sz="4" w:space="0" w:color="auto"/>
              <w:bottom w:val="single" w:sz="4" w:space="0" w:color="auto"/>
            </w:tcBorders>
          </w:tcPr>
          <w:p w14:paraId="56DD0B7F" w14:textId="77777777" w:rsidR="00DC5687" w:rsidRPr="00C05A98" w:rsidRDefault="00DC5687" w:rsidP="00D93882">
            <w:pPr>
              <w:widowControl w:val="0"/>
              <w:tabs>
                <w:tab w:val="left" w:pos="4536"/>
              </w:tabs>
              <w:spacing w:after="0" w:line="360" w:lineRule="auto"/>
              <w:jc w:val="center"/>
              <w:textAlignment w:val="baseline"/>
              <w:rPr>
                <w:rFonts w:ascii="GHEA Grapalat" w:hAnsi="GHEA Grapalat" w:cs="Sylfaen"/>
                <w:b/>
                <w:color w:val="000000"/>
                <w:lang w:val="hy-AM"/>
              </w:rPr>
            </w:pPr>
          </w:p>
          <w:p w14:paraId="790EE578" w14:textId="77777777" w:rsidR="00437DE1" w:rsidRPr="00C05A98" w:rsidRDefault="00437DE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Կարգավիճակ</w:t>
            </w:r>
          </w:p>
        </w:tc>
      </w:tr>
      <w:tr w:rsidR="004A6FC1" w:rsidRPr="00C05A98" w14:paraId="15A77585" w14:textId="77777777" w:rsidTr="000A71EA">
        <w:trPr>
          <w:trHeight w:val="877"/>
        </w:trPr>
        <w:tc>
          <w:tcPr>
            <w:tcW w:w="2836" w:type="dxa"/>
            <w:tcBorders>
              <w:top w:val="single" w:sz="4" w:space="0" w:color="auto"/>
              <w:bottom w:val="single" w:sz="4" w:space="0" w:color="auto"/>
              <w:right w:val="single" w:sz="4" w:space="0" w:color="auto"/>
            </w:tcBorders>
          </w:tcPr>
          <w:p w14:paraId="73A294C0" w14:textId="77777777" w:rsidR="004A6FC1" w:rsidRPr="00C05A98" w:rsidRDefault="004A6FC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 xml:space="preserve">ՀՀ </w:t>
            </w:r>
            <w:r w:rsidR="004247F2" w:rsidRPr="00C05A98">
              <w:rPr>
                <w:rFonts w:ascii="GHEA Grapalat" w:hAnsi="GHEA Grapalat" w:cs="Sylfaen"/>
                <w:b/>
                <w:color w:val="000000"/>
                <w:lang w:val="hy-AM"/>
              </w:rPr>
              <w:t xml:space="preserve">արդարադատության </w:t>
            </w:r>
            <w:r w:rsidRPr="00C05A98">
              <w:rPr>
                <w:rFonts w:ascii="GHEA Grapalat" w:hAnsi="GHEA Grapalat" w:cs="Sylfaen"/>
                <w:b/>
                <w:color w:val="000000"/>
                <w:lang w:val="hy-AM"/>
              </w:rPr>
              <w:t>նախարարություն</w:t>
            </w:r>
          </w:p>
        </w:tc>
        <w:tc>
          <w:tcPr>
            <w:tcW w:w="8363" w:type="dxa"/>
            <w:tcBorders>
              <w:top w:val="single" w:sz="4" w:space="0" w:color="auto"/>
              <w:left w:val="single" w:sz="4" w:space="0" w:color="auto"/>
              <w:bottom w:val="single" w:sz="4" w:space="0" w:color="auto"/>
            </w:tcBorders>
            <w:vAlign w:val="center"/>
          </w:tcPr>
          <w:p w14:paraId="3F317C64" w14:textId="77777777" w:rsidR="00FE5474" w:rsidRPr="00C05A98" w:rsidRDefault="00FE5474" w:rsidP="00FE5474">
            <w:pPr>
              <w:spacing w:after="0" w:line="360" w:lineRule="auto"/>
              <w:ind w:firstLine="720"/>
              <w:jc w:val="both"/>
              <w:rPr>
                <w:rFonts w:ascii="GHEA Grapalat" w:hAnsi="GHEA Grapalat" w:cs="Sylfaen"/>
                <w:lang w:val="hy-AM"/>
              </w:rPr>
            </w:pPr>
            <w:r w:rsidRPr="00C05A98">
              <w:rPr>
                <w:rFonts w:ascii="GHEA Grapalat" w:hAnsi="GHEA Grapalat" w:cs="Sylfaen"/>
                <w:color w:val="000000" w:themeColor="text1"/>
                <w:lang w:val="hy-AM"/>
              </w:rPr>
              <w:t xml:space="preserve">Ֆինանսավորման համաձայնագրի նախագիծը </w:t>
            </w:r>
            <w:r w:rsidRPr="00C05A98">
              <w:rPr>
                <w:rFonts w:ascii="GHEA Grapalat" w:hAnsi="GHEA Grapalat" w:cs="Sylfaen"/>
                <w:lang w:val="hy-AM"/>
              </w:rPr>
              <w:t>չի պարունակում Հայաստանի Հանրապետության օրենքին հակասող, օրենքի փոփոխություն կամ նոր օրենքի ընդունում նախատեսող նորմեր:</w:t>
            </w:r>
          </w:p>
          <w:p w14:paraId="687DDEDE" w14:textId="77777777" w:rsidR="00FE5474" w:rsidRPr="00C05A98" w:rsidRDefault="00FE5474" w:rsidP="00FE5474">
            <w:pPr>
              <w:spacing w:after="0" w:line="360" w:lineRule="auto"/>
              <w:ind w:firstLine="720"/>
              <w:jc w:val="both"/>
              <w:rPr>
                <w:rFonts w:ascii="GHEA Grapalat" w:hAnsi="GHEA Grapalat" w:cs="Sylfaen"/>
                <w:lang w:val="hy-AM"/>
              </w:rPr>
            </w:pPr>
            <w:r w:rsidRPr="00C05A98">
              <w:rPr>
                <w:rFonts w:ascii="GHEA Grapalat" w:hAnsi="GHEA Grapalat" w:cs="Sylfaen"/>
                <w:lang w:val="hy-AM"/>
              </w:rPr>
              <w:t xml:space="preserve">Միաժամանակ հայտնում ենք, որ Հայաստանի Հանրապետության համար ֆինանսական պարտավորություններ նախատեսելու դեպքում </w:t>
            </w:r>
            <w:r w:rsidRPr="00C05A98">
              <w:rPr>
                <w:rFonts w:ascii="GHEA Grapalat" w:hAnsi="GHEA Grapalat" w:cs="Sylfaen"/>
                <w:color w:val="000000" w:themeColor="text1"/>
                <w:lang w:val="hy-AM"/>
              </w:rPr>
              <w:t>Ֆինանսավորման համաձայնագրի նախագիծը</w:t>
            </w:r>
            <w:r w:rsidRPr="00C05A98">
              <w:rPr>
                <w:rFonts w:ascii="GHEA Grapalat" w:hAnsi="GHEA Grapalat" w:cs="Sylfaen"/>
                <w:lang w:val="hy-AM"/>
              </w:rPr>
              <w:t xml:space="preserve"> ենթակա է վավերացման: </w:t>
            </w:r>
          </w:p>
          <w:p w14:paraId="3FDBE2FC" w14:textId="77777777" w:rsidR="00A942DD" w:rsidRPr="00C05A98" w:rsidRDefault="00FE5474" w:rsidP="00FE5474">
            <w:pPr>
              <w:spacing w:after="0" w:line="360" w:lineRule="auto"/>
              <w:ind w:right="29" w:firstLine="706"/>
              <w:jc w:val="both"/>
              <w:rPr>
                <w:rFonts w:ascii="GHEA Grapalat" w:hAnsi="GHEA Grapalat" w:cs="Sylfaen"/>
                <w:color w:val="000000" w:themeColor="text1"/>
                <w:lang w:val="hy-AM"/>
              </w:rPr>
            </w:pPr>
            <w:r w:rsidRPr="00C05A98">
              <w:rPr>
                <w:rFonts w:ascii="GHEA Grapalat" w:hAnsi="GHEA Grapalat" w:cs="Sylfaen"/>
                <w:color w:val="000000" w:themeColor="text1"/>
                <w:lang w:val="hy-AM"/>
              </w:rPr>
              <w:t>Միաժամանակ հայտնում ենք, որ վերոնշյալ ն</w:t>
            </w:r>
            <w:r w:rsidR="00DC5687" w:rsidRPr="00C05A98">
              <w:rPr>
                <w:rFonts w:ascii="GHEA Grapalat" w:hAnsi="GHEA Grapalat" w:cs="Sylfaen"/>
                <w:color w:val="000000" w:themeColor="text1"/>
                <w:lang w:val="hy-AM"/>
              </w:rPr>
              <w:t>ախագծի վերաբերյալ դիտողություններ և առաջարկություններ չունենք:</w:t>
            </w:r>
          </w:p>
        </w:tc>
        <w:tc>
          <w:tcPr>
            <w:tcW w:w="3544" w:type="dxa"/>
            <w:tcBorders>
              <w:top w:val="single" w:sz="4" w:space="0" w:color="auto"/>
              <w:left w:val="single" w:sz="4" w:space="0" w:color="auto"/>
              <w:bottom w:val="single" w:sz="4" w:space="0" w:color="auto"/>
            </w:tcBorders>
          </w:tcPr>
          <w:p w14:paraId="719FAC72" w14:textId="77777777" w:rsidR="0005636E" w:rsidRPr="00C05A98" w:rsidRDefault="00FE5474" w:rsidP="00FE5474">
            <w:pPr>
              <w:widowControl w:val="0"/>
              <w:tabs>
                <w:tab w:val="left" w:pos="4536"/>
              </w:tabs>
              <w:spacing w:after="0" w:line="360" w:lineRule="auto"/>
              <w:jc w:val="center"/>
              <w:textAlignment w:val="baseline"/>
              <w:rPr>
                <w:rFonts w:ascii="GHEA Grapalat" w:hAnsi="GHEA Grapalat" w:cs="Sylfaen"/>
                <w:color w:val="000000"/>
                <w:lang w:val="hy-AM"/>
              </w:rPr>
            </w:pPr>
            <w:r w:rsidRPr="00C05A98">
              <w:rPr>
                <w:rFonts w:ascii="GHEA Grapalat" w:hAnsi="GHEA Grapalat" w:cs="Sylfaen"/>
                <w:color w:val="000000"/>
                <w:lang w:val="hy-AM"/>
              </w:rPr>
              <w:t>Ընդունվել է ի գիտություն</w:t>
            </w:r>
          </w:p>
        </w:tc>
      </w:tr>
      <w:tr w:rsidR="004A6FC1" w:rsidRPr="00C05A98" w14:paraId="333126C1" w14:textId="77777777" w:rsidTr="000A71EA">
        <w:trPr>
          <w:trHeight w:val="1561"/>
        </w:trPr>
        <w:tc>
          <w:tcPr>
            <w:tcW w:w="2836" w:type="dxa"/>
            <w:tcBorders>
              <w:top w:val="single" w:sz="4" w:space="0" w:color="auto"/>
              <w:bottom w:val="single" w:sz="4" w:space="0" w:color="auto"/>
              <w:right w:val="single" w:sz="4" w:space="0" w:color="auto"/>
            </w:tcBorders>
          </w:tcPr>
          <w:p w14:paraId="54543C91" w14:textId="77777777" w:rsidR="004A6FC1" w:rsidRPr="00C05A98" w:rsidRDefault="004A6FC1"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 xml:space="preserve">ՀՀ </w:t>
            </w:r>
            <w:r w:rsidR="004247F2" w:rsidRPr="00C05A98">
              <w:rPr>
                <w:rFonts w:ascii="GHEA Grapalat" w:hAnsi="GHEA Grapalat" w:cs="Sylfaen"/>
                <w:b/>
                <w:color w:val="000000"/>
                <w:lang w:val="hy-AM"/>
              </w:rPr>
              <w:t>արտաքին գործերի</w:t>
            </w:r>
            <w:r w:rsidRPr="00C05A98">
              <w:rPr>
                <w:rFonts w:ascii="GHEA Grapalat" w:hAnsi="GHEA Grapalat" w:cs="Sylfaen"/>
                <w:b/>
                <w:color w:val="000000"/>
                <w:lang w:val="hy-AM"/>
              </w:rPr>
              <w:t xml:space="preserve"> նախարարություն</w:t>
            </w:r>
          </w:p>
        </w:tc>
        <w:tc>
          <w:tcPr>
            <w:tcW w:w="8363" w:type="dxa"/>
            <w:tcBorders>
              <w:top w:val="single" w:sz="4" w:space="0" w:color="auto"/>
              <w:left w:val="single" w:sz="4" w:space="0" w:color="auto"/>
              <w:bottom w:val="single" w:sz="4" w:space="0" w:color="auto"/>
            </w:tcBorders>
            <w:vAlign w:val="center"/>
          </w:tcPr>
          <w:p w14:paraId="3EA46AEE" w14:textId="77777777" w:rsidR="00FE5474" w:rsidRPr="00C05A98" w:rsidRDefault="00FE5474" w:rsidP="00FE5474">
            <w:pPr>
              <w:spacing w:after="0" w:line="360" w:lineRule="auto"/>
              <w:ind w:firstLine="851"/>
              <w:jc w:val="both"/>
              <w:rPr>
                <w:rFonts w:ascii="GHEA Grapalat" w:hAnsi="GHEA Grapalat"/>
                <w:lang w:val="hy-AM"/>
              </w:rPr>
            </w:pPr>
            <w:r w:rsidRPr="00C05A98">
              <w:rPr>
                <w:rFonts w:ascii="GHEA Grapalat" w:hAnsi="GHEA Grapalat"/>
                <w:lang w:val="hy-AM"/>
              </w:rPr>
              <w:t xml:space="preserve">Հայաստանի Հանրապետության և Եվրոպական հանձնաժողովի միջև «Աջակցություն Հայաստանում դատական ոլորտի բարեփոխումների իրականացմանը. Փուլ </w:t>
            </w:r>
            <w:r w:rsidRPr="00C05A98">
              <w:rPr>
                <w:rFonts w:ascii="GHEA Grapalat" w:hAnsi="GHEA Grapalat"/>
                <w:snapToGrid w:val="0"/>
                <w:lang w:val="hy-AM"/>
              </w:rPr>
              <w:t>I</w:t>
            </w:r>
            <w:r w:rsidRPr="00C05A98">
              <w:rPr>
                <w:rFonts w:ascii="GHEA Grapalat" w:hAnsi="GHEA Grapalat"/>
                <w:lang w:val="hy-AM"/>
              </w:rPr>
              <w:t xml:space="preserve">» ֆինանսավորման համաձայնագրով Հայաստանի Հանրապետության կառավարությունը ստանում է երեսուն միլիոն եվրո գումարի չափով դրամաշնորհ։ Դրամաշնորհի միջոցները ուղղված կլինեն իրավական և դատական համակարգային խնդիրների լուծմանը, մասնավորապես </w:t>
            </w:r>
            <w:r w:rsidRPr="00C05A98">
              <w:rPr>
                <w:rFonts w:ascii="GHEA Grapalat" w:hAnsi="GHEA Grapalat"/>
                <w:lang w:val="hy-AM"/>
              </w:rPr>
              <w:lastRenderedPageBreak/>
              <w:t>արդարադատության ոլորտում օրենքի գերակայության արդյունավետ ապահովմանը՝ արդարադատության անկախ և կարգավորված իրականացման միջոցով։ Ծրագրի իրականացումը կնպաստի դատական իշխանության բարեվարքության և հաշվետվողականության ամրապնդմանը։</w:t>
            </w:r>
          </w:p>
          <w:p w14:paraId="44A707A6" w14:textId="77777777" w:rsidR="00FE5474" w:rsidRPr="00C05A98" w:rsidRDefault="00FE5474" w:rsidP="00FE5474">
            <w:pPr>
              <w:spacing w:after="0" w:line="360" w:lineRule="auto"/>
              <w:ind w:firstLine="851"/>
              <w:jc w:val="both"/>
              <w:rPr>
                <w:rFonts w:ascii="GHEA Grapalat" w:hAnsi="GHEA Grapalat"/>
                <w:lang w:val="hy-AM"/>
              </w:rPr>
            </w:pPr>
            <w:r w:rsidRPr="00C05A98">
              <w:rPr>
                <w:rFonts w:ascii="GHEA Grapalat" w:hAnsi="GHEA Grapalat"/>
                <w:lang w:val="hy-AM"/>
              </w:rPr>
              <w:t>Միաժամանակ արդարադատության ոլորտում բարեփոխումների իրականացման գործընթացը համապատասխանում է Համապարփակ և ընդլայնված համագործակցության համաձայնագրի (ՀԸԳՄ) (4-րդ եւ 12-րդ հոդվածներ) շրջանակներում Հայաստանի Հանրապետության ստանձնած պարտավորություններին, ինչպես նաև արդարադատության ոլորտում ԵՄ-Հայաստան ռազմավարական քաղաքականության երկխոսությունից բխող առաջարկություններին։</w:t>
            </w:r>
          </w:p>
          <w:p w14:paraId="56DD4751" w14:textId="77777777" w:rsidR="004A6FC1" w:rsidRPr="00C05A98" w:rsidRDefault="00FE5474" w:rsidP="00FE5474">
            <w:pPr>
              <w:spacing w:after="0" w:line="360" w:lineRule="auto"/>
              <w:ind w:firstLine="851"/>
              <w:jc w:val="both"/>
              <w:rPr>
                <w:rFonts w:ascii="GHEA Grapalat" w:hAnsi="GHEA Grapalat"/>
                <w:lang w:val="hy-AM"/>
              </w:rPr>
            </w:pPr>
            <w:r w:rsidRPr="00C05A98">
              <w:rPr>
                <w:rFonts w:ascii="GHEA Grapalat" w:hAnsi="GHEA Grapalat" w:cs="Arial"/>
                <w:lang w:val="hy-AM"/>
              </w:rPr>
              <w:t>Ելնելով վերոգրյալից և</w:t>
            </w:r>
            <w:r w:rsidRPr="00C05A98">
              <w:rPr>
                <w:rFonts w:ascii="GHEA Grapalat" w:hAnsi="GHEA Grapalat"/>
                <w:lang w:val="hy-AM"/>
              </w:rPr>
              <w:t xml:space="preserve"> «</w:t>
            </w:r>
            <w:r w:rsidRPr="00C05A98">
              <w:rPr>
                <w:rFonts w:ascii="GHEA Grapalat" w:hAnsi="GHEA Grapalat" w:cs="Arial"/>
                <w:lang w:val="hy-AM"/>
              </w:rPr>
              <w:t>Միջազգային պայմանագրերի մասին</w:t>
            </w:r>
            <w:r w:rsidRPr="00C05A98">
              <w:rPr>
                <w:rFonts w:ascii="GHEA Grapalat" w:hAnsi="GHEA Grapalat"/>
                <w:lang w:val="hy-AM"/>
              </w:rPr>
              <w:t xml:space="preserve">» </w:t>
            </w:r>
            <w:r w:rsidRPr="00C05A98">
              <w:rPr>
                <w:rFonts w:ascii="GHEA Grapalat" w:hAnsi="GHEA Grapalat" w:cs="Arial"/>
                <w:lang w:val="hy-AM"/>
              </w:rPr>
              <w:t>օրենքի</w:t>
            </w:r>
            <w:r w:rsidRPr="00C05A98">
              <w:rPr>
                <w:rFonts w:ascii="GHEA Grapalat" w:hAnsi="GHEA Grapalat"/>
                <w:lang w:val="hy-AM"/>
              </w:rPr>
              <w:t xml:space="preserve"> 5-</w:t>
            </w:r>
            <w:r w:rsidRPr="00C05A98">
              <w:rPr>
                <w:rFonts w:ascii="GHEA Grapalat" w:hAnsi="GHEA Grapalat" w:cs="Arial"/>
                <w:lang w:val="hy-AM"/>
              </w:rPr>
              <w:t>րդ հոդվածի հիմքով՝ ՀՀ արտաքին գործերի նախարարությունը նպատակահարմար է գտնում</w:t>
            </w:r>
            <w:r w:rsidRPr="00C05A98">
              <w:rPr>
                <w:rFonts w:ascii="GHEA Grapalat" w:hAnsi="GHEA Grapalat"/>
                <w:lang w:val="hy-AM"/>
              </w:rPr>
              <w:t xml:space="preserve"> Հայաստանի Հանրապետության և Եվրոպական հանձնաժողովի միջև «Աջակցություն Հայաստանում դատական ոլորտի բարեփոխումների իրականացմանը. Փուլ </w:t>
            </w:r>
            <w:r w:rsidRPr="00C05A98">
              <w:rPr>
                <w:rFonts w:ascii="GHEA Grapalat" w:hAnsi="GHEA Grapalat"/>
                <w:snapToGrid w:val="0"/>
                <w:lang w:val="hy-AM"/>
              </w:rPr>
              <w:t>I</w:t>
            </w:r>
            <w:r w:rsidRPr="00C05A98">
              <w:rPr>
                <w:rFonts w:ascii="GHEA Grapalat" w:hAnsi="GHEA Grapalat"/>
                <w:lang w:val="hy-AM"/>
              </w:rPr>
              <w:t>» ֆինանսավորման համաձայնագրի</w:t>
            </w:r>
            <w:r w:rsidRPr="00C05A98">
              <w:rPr>
                <w:rFonts w:ascii="GHEA Grapalat" w:hAnsi="GHEA Grapalat" w:cs="Arial"/>
                <w:lang w:val="hy-AM"/>
              </w:rPr>
              <w:t xml:space="preserve"> ստորագրումը։ Այն համապատասխանում է Հայաստանի Հանրապետության վարած արտաքին քաղաքականությանը և ստանձնած միջազգային պարտավորություններին</w:t>
            </w:r>
          </w:p>
        </w:tc>
        <w:tc>
          <w:tcPr>
            <w:tcW w:w="3544" w:type="dxa"/>
            <w:tcBorders>
              <w:top w:val="single" w:sz="4" w:space="0" w:color="auto"/>
              <w:left w:val="single" w:sz="4" w:space="0" w:color="auto"/>
              <w:bottom w:val="single" w:sz="4" w:space="0" w:color="auto"/>
            </w:tcBorders>
          </w:tcPr>
          <w:p w14:paraId="0205CA5E" w14:textId="77777777" w:rsidR="004A6FC1" w:rsidRPr="00C05A98" w:rsidRDefault="00FE5474" w:rsidP="00E308E9">
            <w:pPr>
              <w:widowControl w:val="0"/>
              <w:tabs>
                <w:tab w:val="left" w:pos="4536"/>
              </w:tabs>
              <w:spacing w:after="0" w:line="360" w:lineRule="auto"/>
              <w:jc w:val="center"/>
              <w:textAlignment w:val="baseline"/>
              <w:rPr>
                <w:rFonts w:ascii="GHEA Grapalat" w:hAnsi="GHEA Grapalat" w:cs="Sylfaen"/>
                <w:color w:val="000000"/>
                <w:lang w:val="hy-AM"/>
              </w:rPr>
            </w:pPr>
            <w:r w:rsidRPr="00C05A98">
              <w:rPr>
                <w:rFonts w:ascii="GHEA Grapalat" w:hAnsi="GHEA Grapalat" w:cs="Sylfaen"/>
                <w:color w:val="000000"/>
                <w:lang w:val="hy-AM"/>
              </w:rPr>
              <w:lastRenderedPageBreak/>
              <w:t>Ընդունվել է ի գիտություն</w:t>
            </w:r>
          </w:p>
        </w:tc>
      </w:tr>
      <w:tr w:rsidR="00A942DD" w:rsidRPr="00C05A98" w14:paraId="07A379A6" w14:textId="77777777" w:rsidTr="00C451F2">
        <w:trPr>
          <w:trHeight w:val="3065"/>
        </w:trPr>
        <w:tc>
          <w:tcPr>
            <w:tcW w:w="2836" w:type="dxa"/>
            <w:tcBorders>
              <w:top w:val="single" w:sz="4" w:space="0" w:color="auto"/>
              <w:bottom w:val="single" w:sz="4" w:space="0" w:color="auto"/>
              <w:right w:val="single" w:sz="4" w:space="0" w:color="auto"/>
            </w:tcBorders>
          </w:tcPr>
          <w:p w14:paraId="7FA89334" w14:textId="77777777" w:rsidR="00A942DD" w:rsidRPr="00C05A98" w:rsidRDefault="00DC5687"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lastRenderedPageBreak/>
              <w:t>ՀՀ ՏԿԵՆ պետական գույքի կառավարման կոմիտե</w:t>
            </w:r>
          </w:p>
        </w:tc>
        <w:tc>
          <w:tcPr>
            <w:tcW w:w="8363" w:type="dxa"/>
            <w:tcBorders>
              <w:top w:val="single" w:sz="4" w:space="0" w:color="auto"/>
              <w:left w:val="single" w:sz="4" w:space="0" w:color="auto"/>
              <w:bottom w:val="single" w:sz="4" w:space="0" w:color="auto"/>
            </w:tcBorders>
            <w:vAlign w:val="center"/>
          </w:tcPr>
          <w:p w14:paraId="0124219D" w14:textId="77777777" w:rsidR="00A942DD" w:rsidRPr="00C05A98" w:rsidRDefault="00FE5474" w:rsidP="00FE5474">
            <w:pPr>
              <w:widowControl w:val="0"/>
              <w:overflowPunct w:val="0"/>
              <w:autoSpaceDE w:val="0"/>
              <w:autoSpaceDN w:val="0"/>
              <w:adjustRightInd w:val="0"/>
              <w:spacing w:after="0" w:line="360" w:lineRule="auto"/>
              <w:ind w:firstLine="576"/>
              <w:jc w:val="both"/>
              <w:textAlignment w:val="baseline"/>
              <w:rPr>
                <w:rFonts w:ascii="GHEA Grapalat" w:hAnsi="GHEA Grapalat"/>
                <w:lang w:val="hy-AM"/>
              </w:rPr>
            </w:pPr>
            <w:r w:rsidRPr="00C05A98">
              <w:rPr>
                <w:rFonts w:ascii="GHEA Grapalat" w:hAnsi="GHEA Grapalat"/>
                <w:lang w:val="hy-AM"/>
              </w:rPr>
              <w:t>Հայաստանի Հանրապետության և Եվրոպական հանձնաժողովի միջև</w:t>
            </w:r>
            <w:r w:rsidR="005661BD">
              <w:rPr>
                <w:rFonts w:ascii="GHEA Grapalat" w:hAnsi="GHEA Grapalat"/>
                <w:lang w:val="hy-AM"/>
              </w:rPr>
              <w:t xml:space="preserve"> </w:t>
            </w:r>
            <w:r w:rsidRPr="00C05A98">
              <w:rPr>
                <w:rFonts w:ascii="GHEA Grapalat" w:hAnsi="GHEA Grapalat"/>
                <w:lang w:val="hy-AM"/>
              </w:rPr>
              <w:t xml:space="preserve">«Աջակցություն Հայաստանում դատական ոլորտի բարեփոխումների իրականացմանը. Փուլ </w:t>
            </w:r>
            <w:r w:rsidRPr="00C05A98">
              <w:rPr>
                <w:rFonts w:ascii="GHEA Grapalat" w:hAnsi="GHEA Grapalat"/>
                <w:snapToGrid w:val="0"/>
                <w:lang w:val="hy-AM"/>
              </w:rPr>
              <w:t>I</w:t>
            </w:r>
            <w:r w:rsidRPr="00C05A98">
              <w:rPr>
                <w:rFonts w:ascii="GHEA Grapalat" w:hAnsi="GHEA Grapalat"/>
                <w:lang w:val="hy-AM"/>
              </w:rPr>
              <w:t>»</w:t>
            </w:r>
            <w:r w:rsidR="005661BD">
              <w:rPr>
                <w:rFonts w:ascii="GHEA Grapalat" w:hAnsi="GHEA Grapalat"/>
                <w:lang w:val="hy-AM"/>
              </w:rPr>
              <w:t xml:space="preserve"> </w:t>
            </w:r>
            <w:r w:rsidRPr="00C05A98">
              <w:rPr>
                <w:rFonts w:ascii="GHEA Grapalat" w:hAnsi="GHEA Grapalat"/>
                <w:lang w:val="hy-AM"/>
              </w:rPr>
              <w:t xml:space="preserve">ֆինանսավորման համաձայնագրի նախագծով </w:t>
            </w:r>
            <w:r w:rsidRPr="00C05A98">
              <w:rPr>
                <w:rFonts w:ascii="GHEA Grapalat" w:hAnsi="GHEA Grapalat" w:cs="Sylfaen"/>
                <w:lang w:val="hy-AM"/>
              </w:rPr>
              <w:t>«Պետական գույքի կառավարման մասին» ՀՀ օրենքի կարգավորման շրջանակում Հ</w:t>
            </w:r>
            <w:r w:rsidRPr="00C05A98">
              <w:rPr>
                <w:rFonts w:ascii="GHEA Grapalat" w:hAnsi="GHEA Grapalat"/>
                <w:lang w:val="hy-AM"/>
              </w:rPr>
              <w:t>այաստանի Հանրապետության համար գույքային պարտավորություններ նախատեսող դրույթներ առկա չեն:</w:t>
            </w:r>
          </w:p>
        </w:tc>
        <w:tc>
          <w:tcPr>
            <w:tcW w:w="3544" w:type="dxa"/>
            <w:tcBorders>
              <w:top w:val="single" w:sz="4" w:space="0" w:color="auto"/>
              <w:left w:val="single" w:sz="4" w:space="0" w:color="auto"/>
              <w:bottom w:val="single" w:sz="4" w:space="0" w:color="auto"/>
            </w:tcBorders>
          </w:tcPr>
          <w:p w14:paraId="622A30EA" w14:textId="77777777" w:rsidR="00A942DD" w:rsidRPr="00C451F2" w:rsidRDefault="00FE5474" w:rsidP="00C451F2">
            <w:pPr>
              <w:spacing w:after="0" w:line="360" w:lineRule="auto"/>
              <w:jc w:val="both"/>
              <w:rPr>
                <w:rFonts w:ascii="GHEA Grapalat" w:hAnsi="GHEA Grapalat"/>
                <w:lang w:val="hy-AM"/>
              </w:rPr>
            </w:pPr>
            <w:r w:rsidRPr="00C451F2">
              <w:rPr>
                <w:rFonts w:ascii="GHEA Grapalat" w:eastAsia="Tahoma" w:hAnsi="GHEA Grapalat" w:cs="Tahoma"/>
                <w:lang w:val="hy-AM"/>
              </w:rPr>
              <w:t>Ընդունվել</w:t>
            </w:r>
            <w:r w:rsidRPr="00C451F2">
              <w:rPr>
                <w:rFonts w:ascii="GHEA Grapalat" w:hAnsi="GHEA Grapalat"/>
                <w:lang w:val="hy-AM"/>
              </w:rPr>
              <w:t xml:space="preserve"> </w:t>
            </w:r>
            <w:r w:rsidRPr="00C451F2">
              <w:rPr>
                <w:rFonts w:ascii="Tahoma" w:eastAsia="Tahoma" w:hAnsi="Tahoma" w:cs="Tahoma"/>
                <w:lang w:val="hy-AM"/>
              </w:rPr>
              <w:t>է</w:t>
            </w:r>
            <w:r w:rsidRPr="00C451F2">
              <w:rPr>
                <w:rFonts w:ascii="GHEA Grapalat" w:hAnsi="GHEA Grapalat"/>
                <w:lang w:val="hy-AM"/>
              </w:rPr>
              <w:t xml:space="preserve"> </w:t>
            </w:r>
            <w:r w:rsidRPr="00C451F2">
              <w:rPr>
                <w:rFonts w:ascii="Tahoma" w:eastAsia="Tahoma" w:hAnsi="Tahoma" w:cs="Tahoma"/>
                <w:lang w:val="hy-AM"/>
              </w:rPr>
              <w:t>ի</w:t>
            </w:r>
            <w:r w:rsidRPr="00C451F2">
              <w:rPr>
                <w:rFonts w:ascii="GHEA Grapalat" w:hAnsi="GHEA Grapalat"/>
                <w:lang w:val="hy-AM"/>
              </w:rPr>
              <w:t xml:space="preserve"> </w:t>
            </w:r>
            <w:r w:rsidRPr="00C451F2">
              <w:rPr>
                <w:rFonts w:ascii="Tahoma" w:eastAsia="Tahoma" w:hAnsi="Tahoma" w:cs="Tahoma"/>
                <w:lang w:val="hy-AM"/>
              </w:rPr>
              <w:t>գիտություն</w:t>
            </w:r>
          </w:p>
        </w:tc>
      </w:tr>
      <w:tr w:rsidR="00052174" w:rsidRPr="00484FC9" w14:paraId="5F03F5CD" w14:textId="77777777" w:rsidTr="000A71EA">
        <w:trPr>
          <w:trHeight w:val="877"/>
        </w:trPr>
        <w:tc>
          <w:tcPr>
            <w:tcW w:w="2836" w:type="dxa"/>
            <w:tcBorders>
              <w:top w:val="single" w:sz="4" w:space="0" w:color="auto"/>
              <w:bottom w:val="single" w:sz="4" w:space="0" w:color="auto"/>
              <w:right w:val="single" w:sz="4" w:space="0" w:color="auto"/>
            </w:tcBorders>
          </w:tcPr>
          <w:p w14:paraId="257E7ED1" w14:textId="77777777" w:rsidR="00052174" w:rsidRPr="00C05A98" w:rsidRDefault="00DC5687" w:rsidP="00DE4F71">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ՀՀ բարձր տեխնոլոգիական արդյունաբերության նախարարություն</w:t>
            </w:r>
          </w:p>
        </w:tc>
        <w:tc>
          <w:tcPr>
            <w:tcW w:w="8363" w:type="dxa"/>
            <w:tcBorders>
              <w:top w:val="single" w:sz="4" w:space="0" w:color="auto"/>
              <w:left w:val="single" w:sz="4" w:space="0" w:color="auto"/>
              <w:bottom w:val="single" w:sz="4" w:space="0" w:color="auto"/>
            </w:tcBorders>
            <w:vAlign w:val="center"/>
          </w:tcPr>
          <w:p w14:paraId="00D3E388" w14:textId="77777777" w:rsidR="00FE5474" w:rsidRPr="00C05A98" w:rsidRDefault="00FE5474" w:rsidP="007C53DB">
            <w:pPr>
              <w:pStyle w:val="ListParagraph"/>
              <w:numPr>
                <w:ilvl w:val="0"/>
                <w:numId w:val="2"/>
              </w:numPr>
              <w:spacing w:after="0" w:line="360" w:lineRule="auto"/>
              <w:ind w:left="34" w:firstLine="567"/>
              <w:jc w:val="both"/>
              <w:rPr>
                <w:rFonts w:ascii="GHEA Grapalat" w:hAnsi="GHEA Grapalat"/>
                <w:lang w:val="hy-AM"/>
              </w:rPr>
            </w:pPr>
            <w:r w:rsidRPr="00C05A98">
              <w:rPr>
                <w:rFonts w:ascii="GHEA Grapalat" w:hAnsi="GHEA Grapalat"/>
                <w:lang w:val="hy-AM"/>
              </w:rPr>
              <w:t>Իրականացված աշխատանքների՝ հատկապես տրանշ կատարողականի թիրախների ուղղությամբ առաջընթացի նկատմամբ մանրամասն մոնիթորինգն ապահովելու համար ստեղծվող տեխնիկական հարցերով աշխատանքային խմբում առաջարկում ենք ներառել նաև ՀՀ բարձր տեխնոլոգիական արդյունաբերության նախարարության համապատասխան վարչություններից աշխատակիցների:</w:t>
            </w:r>
          </w:p>
          <w:p w14:paraId="5BCC9672" w14:textId="77777777" w:rsidR="00FE5474" w:rsidRPr="00C05A98" w:rsidRDefault="00FE5474" w:rsidP="007C53DB">
            <w:pPr>
              <w:pStyle w:val="ListParagraph"/>
              <w:numPr>
                <w:ilvl w:val="0"/>
                <w:numId w:val="2"/>
              </w:numPr>
              <w:spacing w:after="0" w:line="360" w:lineRule="auto"/>
              <w:ind w:left="34" w:firstLine="567"/>
              <w:jc w:val="both"/>
              <w:rPr>
                <w:rFonts w:ascii="GHEA Grapalat" w:hAnsi="GHEA Grapalat"/>
                <w:lang w:val="hy-AM"/>
              </w:rPr>
            </w:pPr>
            <w:r w:rsidRPr="00C05A98">
              <w:rPr>
                <w:rFonts w:ascii="GHEA Grapalat" w:hAnsi="GHEA Grapalat"/>
                <w:lang w:val="hy-AM"/>
              </w:rPr>
              <w:t>Դիտարկել Էլեկտրոնային արդարադատության համակարգում ընթացք ստացած աշխատանքների ավարտին հասցնելու հնարավորությունը՝ ֆինանսական համաձայնագրի 2-րդ նպատակի ուղղակի արդյունքների շղթայի 2.3 կետի շրջանակներում, մասնավորապես՝ "Էլեկտրոնային Արդարադատության Մշտադիտակման Ենթահամակարգերի Զարգացման" ծրագրի, Սնանկության էլեկտրոնային հարթակի, «Էլեկտրոնային դատարանների համապարփակ համակարգը»  ամբողջական ներդրումները:</w:t>
            </w:r>
          </w:p>
          <w:p w14:paraId="52B47C8A" w14:textId="77777777" w:rsidR="00FE5474" w:rsidRPr="00C05A98" w:rsidRDefault="00FE5474" w:rsidP="007C53DB">
            <w:pPr>
              <w:pStyle w:val="ListParagraph"/>
              <w:numPr>
                <w:ilvl w:val="0"/>
                <w:numId w:val="2"/>
              </w:numPr>
              <w:spacing w:after="0" w:line="360" w:lineRule="auto"/>
              <w:ind w:left="34" w:firstLine="567"/>
              <w:jc w:val="both"/>
              <w:rPr>
                <w:rFonts w:ascii="GHEA Grapalat" w:hAnsi="GHEA Grapalat"/>
                <w:lang w:val="hy-AM"/>
              </w:rPr>
            </w:pPr>
            <w:r w:rsidRPr="00C05A98">
              <w:rPr>
                <w:rFonts w:ascii="GHEA Grapalat" w:hAnsi="GHEA Grapalat"/>
                <w:lang w:val="hy-AM"/>
              </w:rPr>
              <w:t xml:space="preserve">Ուսումնասիրելով Եվրոպական միության փորձը համաձայնագրի փոփոխական տրանշների կատարողական ցուցանիշներից թիվ 4-ի իրականացման ապահովման համար՝ այն է՝Էլեկտրոնային արդարադատության </w:t>
            </w:r>
            <w:r w:rsidRPr="00C05A98">
              <w:rPr>
                <w:rFonts w:ascii="GHEA Grapalat" w:hAnsi="GHEA Grapalat"/>
                <w:lang w:val="hy-AM"/>
              </w:rPr>
              <w:lastRenderedPageBreak/>
              <w:t>համակարգի միջոցով ընթացք ստացած դատական գործերի տոկոսի բարձրացում, անհրաժեշտ է էլեկտրոնային արդարադատության համակարգում ներդնել բազմաճյուղային նոր էլեկտրոնային դատական համակարգեր (</w:t>
            </w:r>
            <w:hyperlink r:id="rId5" w:history="1">
              <w:r w:rsidRPr="00C05A98">
                <w:rPr>
                  <w:rStyle w:val="Hyperlink"/>
                  <w:rFonts w:ascii="GHEA Grapalat" w:hAnsi="GHEA Grapalat"/>
                  <w:lang w:val="hy-AM"/>
                </w:rPr>
                <w:t>https://e-justice.europa.eu/</w:t>
              </w:r>
            </w:hyperlink>
            <w:r w:rsidRPr="00C05A98">
              <w:rPr>
                <w:rFonts w:ascii="GHEA Grapalat" w:hAnsi="GHEA Grapalat"/>
                <w:lang w:val="hy-AM"/>
              </w:rPr>
              <w:t>):</w:t>
            </w:r>
          </w:p>
          <w:p w14:paraId="711A995D" w14:textId="77777777" w:rsidR="00FE5474" w:rsidRPr="00C05A98" w:rsidRDefault="00FE5474" w:rsidP="007C53DB">
            <w:pPr>
              <w:pStyle w:val="ListParagraph"/>
              <w:spacing w:after="0" w:line="360" w:lineRule="auto"/>
              <w:ind w:left="34" w:firstLine="567"/>
              <w:jc w:val="both"/>
              <w:rPr>
                <w:rFonts w:ascii="GHEA Grapalat" w:hAnsi="GHEA Grapalat"/>
                <w:lang w:val="hy-AM"/>
              </w:rPr>
            </w:pPr>
          </w:p>
          <w:p w14:paraId="247A7FD2" w14:textId="77777777" w:rsidR="00052174" w:rsidRPr="00C05A98" w:rsidRDefault="00FE5474" w:rsidP="007C53DB">
            <w:pPr>
              <w:pStyle w:val="ListParagraph"/>
              <w:numPr>
                <w:ilvl w:val="0"/>
                <w:numId w:val="2"/>
              </w:numPr>
              <w:spacing w:after="0" w:line="360" w:lineRule="auto"/>
              <w:ind w:left="34" w:firstLine="567"/>
              <w:jc w:val="both"/>
              <w:rPr>
                <w:rFonts w:ascii="GHEA Grapalat" w:hAnsi="GHEA Grapalat"/>
                <w:lang w:val="hy-AM"/>
              </w:rPr>
            </w:pPr>
            <w:r w:rsidRPr="00C05A98">
              <w:rPr>
                <w:rFonts w:ascii="GHEA Grapalat" w:hAnsi="GHEA Grapalat"/>
                <w:lang w:val="hy-AM"/>
              </w:rPr>
              <w:t xml:space="preserve">Արդարադատության ոլորտում առկա տվյալների հավաքագրման մեխանիզմների գնահատման ընդլայնման, ապացույցների վրա հիմնված առավել արդյունավետ քաղաքականություն մշակման, մանրամասն մոնիթորինգի անցկացմանև հաշվետվություններ ներկայացման, ինչպես նաև անուղղակիորեն հանրային հաշվետվողականության ավելի բարձր մակարդակ ապահովելու համար առաջարկում ենք վերազինել և նոր ֆունկցիոնալ </w:t>
            </w:r>
            <w:r w:rsidRPr="00C05A98">
              <w:rPr>
                <w:rFonts w:ascii="GHEA Grapalat" w:hAnsi="GHEA Grapalat" w:cs="Sylfaen"/>
                <w:lang w:val="hy-AM"/>
              </w:rPr>
              <w:t>հնարավորություններ</w:t>
            </w:r>
            <w:r w:rsidRPr="00C05A98">
              <w:rPr>
                <w:rFonts w:ascii="GHEA Grapalat" w:hAnsi="GHEA Grapalat"/>
                <w:lang w:val="hy-AM"/>
              </w:rPr>
              <w:t xml:space="preserve"> ավելացնել՝ այդ թվում տարբեր վիճակագրական հաշվետվությունների գեներացման համար բիզնես վերլուծական գործիքների (BI tools) ներդրմամբ, ՀՀ դատական տեղեկատվական համակարգում (Datalex.am):</w:t>
            </w:r>
          </w:p>
        </w:tc>
        <w:tc>
          <w:tcPr>
            <w:tcW w:w="3544" w:type="dxa"/>
            <w:tcBorders>
              <w:top w:val="single" w:sz="4" w:space="0" w:color="auto"/>
              <w:left w:val="single" w:sz="4" w:space="0" w:color="auto"/>
              <w:bottom w:val="single" w:sz="4" w:space="0" w:color="auto"/>
            </w:tcBorders>
          </w:tcPr>
          <w:p w14:paraId="4CFFBE55" w14:textId="0E0215E3" w:rsidR="00C451F2" w:rsidRDefault="00C451F2" w:rsidP="00ED3CDE">
            <w:pPr>
              <w:pStyle w:val="ListParagraph"/>
              <w:spacing w:after="0" w:line="360" w:lineRule="auto"/>
              <w:ind w:left="34" w:hanging="34"/>
              <w:rPr>
                <w:rFonts w:ascii="GHEA Grapalat" w:hAnsi="GHEA Grapalat"/>
                <w:lang w:val="hy-AM"/>
              </w:rPr>
            </w:pPr>
            <w:r>
              <w:rPr>
                <w:rFonts w:ascii="GHEA Grapalat" w:hAnsi="GHEA Grapalat"/>
                <w:lang w:val="hy-AM"/>
              </w:rPr>
              <w:lastRenderedPageBreak/>
              <w:t>1.</w:t>
            </w:r>
            <w:r w:rsidR="003C4278" w:rsidRPr="003C4278">
              <w:rPr>
                <w:rFonts w:ascii="GHEA Grapalat" w:hAnsi="GHEA Grapalat"/>
                <w:lang w:val="hy-AM"/>
              </w:rPr>
              <w:t>Բյուջետային աջակցության ծրագրով նախատեսված տրանշերի կատարողականի թիրախների ուղղությամբ առաջընթացի նկատմամբ մանրամասն մոնիթորինգն ապահովելու համար ստեղծվող տեխնիկական հարցերով աշխատանքային խմբում</w:t>
            </w:r>
            <w:r w:rsidR="0074299A" w:rsidRPr="0074299A">
              <w:rPr>
                <w:rFonts w:ascii="GHEA Grapalat" w:hAnsi="GHEA Grapalat"/>
                <w:lang w:val="hy-AM"/>
              </w:rPr>
              <w:t xml:space="preserve">, </w:t>
            </w:r>
            <w:r w:rsidR="0074299A">
              <w:rPr>
                <w:rFonts w:ascii="GHEA Grapalat" w:hAnsi="GHEA Grapalat"/>
                <w:lang w:val="hy-AM"/>
              </w:rPr>
              <w:t>որը պետք է ստեղծվի համաձայնագրի ստորագրումից հետո,</w:t>
            </w:r>
            <w:r w:rsidR="003C4278" w:rsidRPr="003C4278">
              <w:rPr>
                <w:rFonts w:ascii="GHEA Grapalat" w:hAnsi="GHEA Grapalat"/>
                <w:lang w:val="hy-AM"/>
              </w:rPr>
              <w:t xml:space="preserve"> կներառեն նաև ՀՀ բարձր տեխնոլոգիական արդյունաբերության նախարարության ներկայացուցիչները: </w:t>
            </w:r>
          </w:p>
          <w:p w14:paraId="212CA9C4" w14:textId="4D48E260" w:rsidR="00C451F2" w:rsidRDefault="00C451F2" w:rsidP="00ED3CDE">
            <w:pPr>
              <w:pStyle w:val="ListParagraph"/>
              <w:spacing w:after="0" w:line="360" w:lineRule="auto"/>
              <w:ind w:left="34" w:hanging="34"/>
              <w:rPr>
                <w:rFonts w:ascii="GHEA Grapalat" w:hAnsi="GHEA Grapalat"/>
                <w:lang w:val="hy-AM"/>
              </w:rPr>
            </w:pPr>
            <w:r>
              <w:rPr>
                <w:rFonts w:ascii="GHEA Grapalat" w:hAnsi="GHEA Grapalat"/>
                <w:lang w:val="hy-AM"/>
              </w:rPr>
              <w:lastRenderedPageBreak/>
              <w:t xml:space="preserve">2. </w:t>
            </w:r>
            <w:r w:rsidRPr="00C451F2">
              <w:rPr>
                <w:rFonts w:ascii="GHEA Grapalat" w:hAnsi="GHEA Grapalat"/>
                <w:lang w:val="hy-AM"/>
              </w:rPr>
              <w:t xml:space="preserve">ԵՄ հետ բանակցություններն ու սույն ծրագիրը չեն </w:t>
            </w:r>
            <w:r w:rsidR="0074299A">
              <w:rPr>
                <w:rFonts w:ascii="GHEA Grapalat" w:hAnsi="GHEA Grapalat"/>
                <w:lang w:val="hy-AM"/>
              </w:rPr>
              <w:t>սպա</w:t>
            </w:r>
            <w:r w:rsidRPr="00C451F2">
              <w:rPr>
                <w:rFonts w:ascii="GHEA Grapalat" w:hAnsi="GHEA Grapalat"/>
                <w:lang w:val="hy-AM"/>
              </w:rPr>
              <w:t>ռում արդարադատության ոլորտում ա</w:t>
            </w:r>
            <w:r>
              <w:rPr>
                <w:rFonts w:ascii="GHEA Grapalat" w:hAnsi="GHEA Grapalat"/>
                <w:lang w:val="hy-AM"/>
              </w:rPr>
              <w:t xml:space="preserve">մբողջ էլեկտրոնային պլատֆորմները, </w:t>
            </w:r>
            <w:r w:rsidRPr="00C451F2">
              <w:rPr>
                <w:rFonts w:ascii="GHEA Grapalat" w:hAnsi="GHEA Grapalat"/>
                <w:lang w:val="hy-AM"/>
              </w:rPr>
              <w:t>իսկ այն ենթածրագրերը, որոնք ներառված են սույն ծրագրում, բխում են արդեն իսկ գործող կամ նախատեսված ծրագրերի շարունակա</w:t>
            </w:r>
            <w:r>
              <w:rPr>
                <w:rFonts w:ascii="GHEA Grapalat" w:hAnsi="GHEA Grapalat"/>
                <w:lang w:val="hy-AM"/>
              </w:rPr>
              <w:t>կանության ապահովման ու դրանց վր</w:t>
            </w:r>
            <w:r>
              <w:rPr>
                <w:rFonts w:ascii="Tahoma" w:hAnsi="Tahoma" w:cs="Tahoma"/>
                <w:lang w:val="hy-AM"/>
              </w:rPr>
              <w:t>ա</w:t>
            </w:r>
            <w:r w:rsidRPr="00C451F2">
              <w:rPr>
                <w:rFonts w:ascii="GHEA Grapalat" w:hAnsi="GHEA Grapalat"/>
                <w:lang w:val="hy-AM"/>
              </w:rPr>
              <w:t xml:space="preserve"> հետագա քայլերը կառուցելու տրամաբանությունից: </w:t>
            </w:r>
          </w:p>
          <w:p w14:paraId="0A8658A9" w14:textId="5763982E" w:rsidR="00C451F2" w:rsidRPr="00C451F2" w:rsidRDefault="00C451F2" w:rsidP="00ED3CDE">
            <w:pPr>
              <w:pStyle w:val="ListParagraph"/>
              <w:spacing w:after="0" w:line="360" w:lineRule="auto"/>
              <w:ind w:left="34" w:hanging="34"/>
              <w:rPr>
                <w:rFonts w:ascii="Tahoma" w:hAnsi="Tahoma" w:cs="Tahoma"/>
                <w:lang w:val="hy-AM"/>
              </w:rPr>
            </w:pPr>
            <w:r>
              <w:rPr>
                <w:rFonts w:ascii="GHEA Grapalat" w:hAnsi="GHEA Grapalat"/>
                <w:lang w:val="hy-AM"/>
              </w:rPr>
              <w:t xml:space="preserve">3. </w:t>
            </w:r>
            <w:r w:rsidRPr="00486F98">
              <w:rPr>
                <w:rFonts w:ascii="GHEA Grapalat" w:hAnsi="GHEA Grapalat"/>
                <w:lang w:val="hy-AM"/>
              </w:rPr>
              <w:t xml:space="preserve">Ծրագրով նախատեսված վիճակագրական գործիքներն ու մեթոդաբանությունը նախատեսվում է մշակել ու ներդնել հենց ծրագրի շրջանակներում, ինչի համար կներգրավվեն ինչպես ՀՀ համապատասխան շահառուները, այնպես էլ </w:t>
            </w:r>
            <w:r w:rsidRPr="00486F98">
              <w:rPr>
                <w:rFonts w:ascii="GHEA Grapalat" w:hAnsi="GHEA Grapalat"/>
                <w:lang w:val="hy-AM"/>
              </w:rPr>
              <w:lastRenderedPageBreak/>
              <w:t xml:space="preserve">անհրաժեշտ միջազգային փորձագետներ: </w:t>
            </w:r>
          </w:p>
        </w:tc>
      </w:tr>
      <w:tr w:rsidR="009E44EB" w:rsidRPr="00484FC9" w14:paraId="27389923" w14:textId="77777777" w:rsidTr="000A71EA">
        <w:trPr>
          <w:trHeight w:val="877"/>
        </w:trPr>
        <w:tc>
          <w:tcPr>
            <w:tcW w:w="2836" w:type="dxa"/>
            <w:tcBorders>
              <w:top w:val="single" w:sz="4" w:space="0" w:color="auto"/>
              <w:bottom w:val="single" w:sz="4" w:space="0" w:color="auto"/>
              <w:right w:val="single" w:sz="4" w:space="0" w:color="auto"/>
            </w:tcBorders>
          </w:tcPr>
          <w:p w14:paraId="35F9B255" w14:textId="77777777" w:rsidR="009E44EB" w:rsidRPr="00C05A98" w:rsidRDefault="00DC5687"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lastRenderedPageBreak/>
              <w:t>ՀՀ արդարադատության ակադեմիա</w:t>
            </w:r>
          </w:p>
        </w:tc>
        <w:tc>
          <w:tcPr>
            <w:tcW w:w="8363" w:type="dxa"/>
            <w:tcBorders>
              <w:top w:val="single" w:sz="4" w:space="0" w:color="auto"/>
              <w:left w:val="single" w:sz="4" w:space="0" w:color="auto"/>
              <w:bottom w:val="single" w:sz="4" w:space="0" w:color="auto"/>
            </w:tcBorders>
            <w:vAlign w:val="center"/>
          </w:tcPr>
          <w:p w14:paraId="473B4031" w14:textId="77777777" w:rsidR="009E44EB" w:rsidRPr="0074299A" w:rsidRDefault="005661BD" w:rsidP="008C3C84">
            <w:pPr>
              <w:autoSpaceDE w:val="0"/>
              <w:autoSpaceDN w:val="0"/>
              <w:adjustRightInd w:val="0"/>
              <w:spacing w:after="0" w:line="360" w:lineRule="auto"/>
              <w:ind w:right="33" w:firstLine="459"/>
              <w:jc w:val="both"/>
              <w:rPr>
                <w:rFonts w:ascii="GHEA Grapalat" w:hAnsi="GHEA Grapalat"/>
                <w:lang w:val="hy-AM"/>
              </w:rPr>
            </w:pPr>
            <w:r>
              <w:rPr>
                <w:rFonts w:ascii="GHEA Grapalat" w:eastAsia="Times New Roman" w:hAnsi="GHEA Grapalat"/>
                <w:lang w:val="hy-AM"/>
              </w:rPr>
              <w:t xml:space="preserve">ԵՀԳ/2020/042-019 Ֆինանսավորման համաձայնագրի նախագծի հավելված առաջինի </w:t>
            </w:r>
            <w:r w:rsidRPr="00C05A98">
              <w:rPr>
                <w:rFonts w:ascii="GHEA Grapalat" w:hAnsi="GHEA Grapalat"/>
                <w:lang w:val="hy-AM"/>
              </w:rPr>
              <w:t>«</w:t>
            </w:r>
            <w:r>
              <w:rPr>
                <w:rFonts w:ascii="GHEA Grapalat" w:hAnsi="GHEA Grapalat"/>
                <w:lang w:val="hy-AM"/>
              </w:rPr>
              <w:t>Միջամտության տրամաբանության աղյուսակի</w:t>
            </w:r>
            <w:r w:rsidRPr="00C05A98">
              <w:rPr>
                <w:rFonts w:ascii="GHEA Grapalat" w:hAnsi="GHEA Grapalat"/>
                <w:lang w:val="hy-AM"/>
              </w:rPr>
              <w:t>»</w:t>
            </w:r>
            <w:r>
              <w:rPr>
                <w:rFonts w:ascii="GHEA Grapalat" w:hAnsi="GHEA Grapalat"/>
                <w:lang w:val="hy-AM"/>
              </w:rPr>
              <w:t xml:space="preserve"> </w:t>
            </w:r>
            <w:r w:rsidRPr="005661BD">
              <w:rPr>
                <w:rFonts w:ascii="GHEA Grapalat" w:hAnsi="GHEA Grapalat"/>
                <w:lang w:val="hy-AM"/>
              </w:rPr>
              <w:t>(այսուհետ՝ նաև աղյուսակ) 2,2 և 3,3 կետերն առնչվում են Արդարադատության ակադեմիային, որոնց վերաբերյալ Ակադեմիան հայտնում է իր դրական կարծիքը՝ պատրաստակամություն հայտնելով աջակցել յուրաքանչյուր բարեփոխման, որը միտված է դատական համակարգի պրոֆեսիոնալիզմի մակարդակի բարձրացմանը, Ակադեմիայի ունկնդիրների ուսուցման պատշաճ որակի ապահովմանը:</w:t>
            </w:r>
          </w:p>
          <w:p w14:paraId="471A856C" w14:textId="77777777" w:rsidR="005661BD" w:rsidRDefault="005661BD" w:rsidP="008C3C84">
            <w:pPr>
              <w:autoSpaceDE w:val="0"/>
              <w:autoSpaceDN w:val="0"/>
              <w:adjustRightInd w:val="0"/>
              <w:spacing w:after="0" w:line="360" w:lineRule="auto"/>
              <w:ind w:right="33" w:firstLine="459"/>
              <w:jc w:val="both"/>
              <w:rPr>
                <w:rFonts w:ascii="GHEA Grapalat" w:hAnsi="GHEA Grapalat"/>
                <w:lang w:val="hy-AM"/>
              </w:rPr>
            </w:pPr>
            <w:r w:rsidRPr="0074299A">
              <w:rPr>
                <w:rFonts w:ascii="GHEA Grapalat" w:hAnsi="GHEA Grapalat"/>
                <w:lang w:val="hy-AM"/>
              </w:rPr>
              <w:t xml:space="preserve">Միևնույն ժամանակ, անհրաժեշտ է արձանագրել, որ աղյուսակի 2.2 կետով սահմանված՝ </w:t>
            </w:r>
            <w:r w:rsidRPr="00C05A98">
              <w:rPr>
                <w:rFonts w:ascii="GHEA Grapalat" w:hAnsi="GHEA Grapalat"/>
                <w:lang w:val="hy-AM"/>
              </w:rPr>
              <w:t>«</w:t>
            </w:r>
            <w:r w:rsidRPr="0074299A">
              <w:rPr>
                <w:rFonts w:ascii="GHEA Grapalat" w:hAnsi="GHEA Grapalat"/>
                <w:lang w:val="hy-AM"/>
              </w:rPr>
              <w:t>Վերապատրաստումից հետո ընդունելի արդյունքով թեստավորում անցած վերապատրաստվածների տոկոսը</w:t>
            </w:r>
            <w:r w:rsidRPr="00C05A98">
              <w:rPr>
                <w:rFonts w:ascii="GHEA Grapalat" w:hAnsi="GHEA Grapalat"/>
                <w:lang w:val="hy-AM"/>
              </w:rPr>
              <w:t>»</w:t>
            </w:r>
            <w:r w:rsidRPr="0074299A">
              <w:rPr>
                <w:rFonts w:ascii="GHEA Grapalat" w:hAnsi="GHEA Grapalat"/>
                <w:lang w:val="hy-AM"/>
              </w:rPr>
              <w:t xml:space="preserve"> և 3,3 կետով սահմանված՝ </w:t>
            </w:r>
            <w:r w:rsidRPr="00C05A98">
              <w:rPr>
                <w:rFonts w:ascii="GHEA Grapalat" w:hAnsi="GHEA Grapalat"/>
                <w:lang w:val="hy-AM"/>
              </w:rPr>
              <w:t>«</w:t>
            </w:r>
            <w:r w:rsidRPr="0074299A">
              <w:rPr>
                <w:rFonts w:ascii="GHEA Grapalat" w:hAnsi="GHEA Grapalat"/>
                <w:lang w:val="hy-AM"/>
              </w:rPr>
              <w:t xml:space="preserve">վերապատրաստումներից հետո ընդունելի արդյունքներով թեստավորում անցած վերապատրաստվածների </w:t>
            </w:r>
            <w:r>
              <w:rPr>
                <w:rFonts w:ascii="GHEA Grapalat" w:hAnsi="GHEA Grapalat"/>
                <w:lang w:val="hy-AM"/>
              </w:rPr>
              <w:t>(</w:t>
            </w:r>
            <w:r w:rsidRPr="0074299A">
              <w:rPr>
                <w:rFonts w:ascii="GHEA Grapalat" w:hAnsi="GHEA Grapalat"/>
                <w:lang w:val="hy-AM"/>
              </w:rPr>
              <w:t>դատավոր, դատախազ</w:t>
            </w:r>
            <w:r>
              <w:rPr>
                <w:rFonts w:ascii="GHEA Grapalat" w:hAnsi="GHEA Grapalat"/>
                <w:lang w:val="hy-AM"/>
              </w:rPr>
              <w:t>)</w:t>
            </w:r>
            <w:r w:rsidRPr="0074299A">
              <w:rPr>
                <w:rFonts w:ascii="GHEA Grapalat" w:hAnsi="GHEA Grapalat"/>
                <w:lang w:val="hy-AM"/>
              </w:rPr>
              <w:t xml:space="preserve"> տոկոսը</w:t>
            </w:r>
            <w:r w:rsidRPr="00C05A98">
              <w:rPr>
                <w:rFonts w:ascii="GHEA Grapalat" w:hAnsi="GHEA Grapalat"/>
                <w:lang w:val="hy-AM"/>
              </w:rPr>
              <w:t>»</w:t>
            </w:r>
            <w:r w:rsidRPr="0074299A">
              <w:rPr>
                <w:rFonts w:ascii="GHEA Grapalat" w:hAnsi="GHEA Grapalat"/>
                <w:lang w:val="hy-AM"/>
              </w:rPr>
              <w:t xml:space="preserve"> դրույթները (</w:t>
            </w:r>
            <w:r>
              <w:rPr>
                <w:rFonts w:ascii="GHEA Grapalat" w:hAnsi="GHEA Grapalat"/>
                <w:lang w:val="hy-AM"/>
              </w:rPr>
              <w:t>վերապատրաստումից հետո ընդունելի արդյունքներով թեստավորումների պահանջը</w:t>
            </w:r>
            <w:r w:rsidRPr="0074299A">
              <w:rPr>
                <w:rFonts w:ascii="GHEA Grapalat" w:hAnsi="GHEA Grapalat"/>
                <w:lang w:val="hy-AM"/>
              </w:rPr>
              <w:t>)</w:t>
            </w:r>
            <w:r>
              <w:rPr>
                <w:rFonts w:ascii="GHEA Grapalat" w:hAnsi="GHEA Grapalat"/>
                <w:lang w:val="hy-AM"/>
              </w:rPr>
              <w:t xml:space="preserve"> խնդրահարույց է և չի բխում </w:t>
            </w:r>
            <w:r w:rsidRPr="00C05A98">
              <w:rPr>
                <w:rFonts w:ascii="GHEA Grapalat" w:hAnsi="GHEA Grapalat"/>
                <w:lang w:val="hy-AM"/>
              </w:rPr>
              <w:t>«</w:t>
            </w:r>
            <w:r>
              <w:rPr>
                <w:rFonts w:ascii="GHEA Grapalat" w:hAnsi="GHEA Grapalat"/>
                <w:lang w:val="hy-AM"/>
              </w:rPr>
              <w:t>Արդարադատության ակադեմիայի մասին</w:t>
            </w:r>
            <w:r w:rsidRPr="00C05A98">
              <w:rPr>
                <w:rFonts w:ascii="GHEA Grapalat" w:hAnsi="GHEA Grapalat"/>
                <w:lang w:val="hy-AM"/>
              </w:rPr>
              <w:t>»</w:t>
            </w:r>
            <w:r>
              <w:rPr>
                <w:rFonts w:ascii="GHEA Grapalat" w:hAnsi="GHEA Grapalat"/>
                <w:lang w:val="hy-AM"/>
              </w:rPr>
              <w:t xml:space="preserve"> ՀՀ օրենքի կարգավորումներից:</w:t>
            </w:r>
          </w:p>
          <w:p w14:paraId="5F7D501B" w14:textId="77777777" w:rsidR="005661BD" w:rsidRDefault="005661BD" w:rsidP="008C3C84">
            <w:pPr>
              <w:autoSpaceDE w:val="0"/>
              <w:autoSpaceDN w:val="0"/>
              <w:adjustRightInd w:val="0"/>
              <w:spacing w:after="0" w:line="360" w:lineRule="auto"/>
              <w:ind w:right="33" w:firstLine="601"/>
              <w:jc w:val="both"/>
              <w:rPr>
                <w:rFonts w:ascii="GHEA Grapalat" w:hAnsi="GHEA Grapalat"/>
                <w:lang w:val="hy-AM"/>
              </w:rPr>
            </w:pPr>
            <w:r w:rsidRPr="00C05A98">
              <w:rPr>
                <w:rFonts w:ascii="GHEA Grapalat" w:hAnsi="GHEA Grapalat"/>
                <w:lang w:val="hy-AM"/>
              </w:rPr>
              <w:t>«</w:t>
            </w:r>
            <w:r>
              <w:rPr>
                <w:rFonts w:ascii="GHEA Grapalat" w:hAnsi="GHEA Grapalat"/>
                <w:lang w:val="hy-AM"/>
              </w:rPr>
              <w:t>Արդարադատության ակադեմիայի մասին</w:t>
            </w:r>
            <w:r w:rsidRPr="00C05A98">
              <w:rPr>
                <w:rFonts w:ascii="GHEA Grapalat" w:hAnsi="GHEA Grapalat"/>
                <w:lang w:val="hy-AM"/>
              </w:rPr>
              <w:t>»</w:t>
            </w:r>
            <w:r>
              <w:rPr>
                <w:rFonts w:ascii="GHEA Grapalat" w:hAnsi="GHEA Grapalat"/>
                <w:lang w:val="hy-AM"/>
              </w:rPr>
              <w:t xml:space="preserve"> ՀՀ օրենքի 28-րդ հոդվածի 4-րդ մասի համաձայն՝ դատավորը, քննիչը, դատախազը, դատավորների թեկնածուների ցուցակում ընդգրկված անձը համարվում են վերապատրաստումը կամ լրացուցիչ վերապատրաստումն անցած, եթե նրան մասնակցել են վերապատրաստման կամ լրացուցիչ վերապատրաստման համապատասխան </w:t>
            </w:r>
            <w:r>
              <w:rPr>
                <w:rFonts w:ascii="GHEA Grapalat" w:hAnsi="GHEA Grapalat"/>
                <w:lang w:val="hy-AM"/>
              </w:rPr>
              <w:lastRenderedPageBreak/>
              <w:t>առարկայական կուրսի բոլոր ժամերին, այդ թվում, երբ նրանց բացակայությունը Ռեկտորը ճանաչել է հարգելի: Նշված իրավադրույթի բովանդակությունից հետևում է, որ Ակադեմիայում վերապատրաստումից հետո ունկնդիրները ենթակա չեն թեստավորման և նրանց վերապատրաստման արդյունքներն այլ կերպ ենթակա չեն գնահատման: Այլ խոսքով՝ օրենսդրությունը նշված անձանց վերապատրաստումն անցած լինելը կապում է միայն վերապատրաստման համապատասխան առարկայական կուրսի բոլորի ժամերի մասնակցության հետ:</w:t>
            </w:r>
          </w:p>
          <w:p w14:paraId="65770DC6" w14:textId="77777777" w:rsidR="005661BD" w:rsidRPr="005661BD" w:rsidRDefault="005661BD" w:rsidP="008C3C84">
            <w:pPr>
              <w:autoSpaceDE w:val="0"/>
              <w:autoSpaceDN w:val="0"/>
              <w:adjustRightInd w:val="0"/>
              <w:spacing w:after="0" w:line="360" w:lineRule="auto"/>
              <w:ind w:right="33" w:firstLine="601"/>
              <w:jc w:val="both"/>
              <w:rPr>
                <w:rFonts w:ascii="GHEA Grapalat" w:eastAsia="Times New Roman" w:hAnsi="GHEA Grapalat"/>
                <w:lang w:val="hy-AM"/>
              </w:rPr>
            </w:pPr>
            <w:r>
              <w:rPr>
                <w:rFonts w:ascii="GHEA Grapalat" w:hAnsi="GHEA Grapalat"/>
                <w:lang w:val="hy-AM"/>
              </w:rPr>
              <w:t>Հետևաբար, վերոգրյալի հաշվառմամբ, անհրաժեշտ է վերանայել աղյուսակի 2.2 և 3.3 կետերում նախատեսված վերապատրաստումից հետո ընդունելի արդյունքներով թեստավորում անցնելու պահանջը:</w:t>
            </w:r>
          </w:p>
        </w:tc>
        <w:tc>
          <w:tcPr>
            <w:tcW w:w="3544" w:type="dxa"/>
            <w:tcBorders>
              <w:top w:val="single" w:sz="4" w:space="0" w:color="auto"/>
              <w:left w:val="single" w:sz="4" w:space="0" w:color="auto"/>
              <w:bottom w:val="single" w:sz="4" w:space="0" w:color="auto"/>
            </w:tcBorders>
          </w:tcPr>
          <w:p w14:paraId="23584956" w14:textId="77777777" w:rsidR="00065480" w:rsidRDefault="00065480" w:rsidP="00065480">
            <w:pPr>
              <w:spacing w:after="0"/>
              <w:ind w:right="29"/>
              <w:contextualSpacing/>
              <w:jc w:val="both"/>
              <w:rPr>
                <w:rFonts w:ascii="GHEA Grapalat" w:hAnsi="GHEA Grapalat"/>
                <w:lang w:val="hy-AM"/>
              </w:rPr>
            </w:pPr>
            <w:r w:rsidRPr="00065480">
              <w:rPr>
                <w:rFonts w:ascii="GHEA Grapalat" w:hAnsi="GHEA Grapalat"/>
                <w:lang w:val="hy-AM"/>
              </w:rPr>
              <w:lastRenderedPageBreak/>
              <w:t>ՀՀ արդարադատության նախարարությունից՝ որպես ոլորտի քաղաքականությունը մշակող մարմնից ստացված տեղեկատվության համաձայն՝ Արդրադատության ակադեմիայի կողմից նշված դիտարկումները չեն կարող խնդիր համարվել համաձայնագրի կնքման համար:</w:t>
            </w:r>
          </w:p>
          <w:p w14:paraId="62193567" w14:textId="77777777" w:rsidR="005A5FFE" w:rsidRDefault="005A5FFE" w:rsidP="00065480">
            <w:pPr>
              <w:spacing w:after="0"/>
              <w:ind w:right="29"/>
              <w:contextualSpacing/>
              <w:jc w:val="both"/>
              <w:rPr>
                <w:rFonts w:ascii="GHEA Grapalat" w:hAnsi="GHEA Grapalat"/>
                <w:lang w:val="hy-AM"/>
              </w:rPr>
            </w:pPr>
          </w:p>
          <w:p w14:paraId="7C228934" w14:textId="5805309B" w:rsidR="005A5FFE" w:rsidRPr="005A5FFE" w:rsidRDefault="005A5FFE" w:rsidP="00065480">
            <w:pPr>
              <w:spacing w:after="0"/>
              <w:ind w:right="29"/>
              <w:contextualSpacing/>
              <w:jc w:val="both"/>
              <w:rPr>
                <w:rFonts w:ascii="GHEA Grapalat" w:hAnsi="GHEA Grapalat"/>
                <w:lang w:val="hy-AM"/>
              </w:rPr>
            </w:pPr>
            <w:r w:rsidRPr="005A5FFE">
              <w:rPr>
                <w:rFonts w:ascii="GHEA Grapalat" w:hAnsi="GHEA Grapalat"/>
                <w:lang w:val="hy-AM"/>
              </w:rPr>
              <w:t xml:space="preserve">Միևնույն ժամանակ՝ աղյուսակի 2.2 կետով սահմանված՝ </w:t>
            </w:r>
            <w:r w:rsidRPr="00C05A98">
              <w:rPr>
                <w:rFonts w:ascii="GHEA Grapalat" w:hAnsi="GHEA Grapalat"/>
                <w:lang w:val="hy-AM"/>
              </w:rPr>
              <w:t>«</w:t>
            </w:r>
            <w:r w:rsidRPr="005A5FFE">
              <w:rPr>
                <w:rFonts w:ascii="GHEA Grapalat" w:hAnsi="GHEA Grapalat"/>
                <w:lang w:val="hy-AM"/>
              </w:rPr>
              <w:t>Վերապատրաստումից հետո ընդունելի արդյունքով թեստավորում անցած վերապատրաստվածների տոկոսը</w:t>
            </w:r>
            <w:r w:rsidRPr="00C05A98">
              <w:rPr>
                <w:rFonts w:ascii="GHEA Grapalat" w:hAnsi="GHEA Grapalat"/>
                <w:lang w:val="hy-AM"/>
              </w:rPr>
              <w:t>»</w:t>
            </w:r>
            <w:r w:rsidRPr="005A5FFE">
              <w:rPr>
                <w:rFonts w:ascii="GHEA Grapalat" w:hAnsi="GHEA Grapalat"/>
                <w:lang w:val="hy-AM"/>
              </w:rPr>
              <w:t xml:space="preserve"> և 3,3 կետով սահմանված՝ </w:t>
            </w:r>
            <w:r w:rsidRPr="00C05A98">
              <w:rPr>
                <w:rFonts w:ascii="GHEA Grapalat" w:hAnsi="GHEA Grapalat"/>
                <w:lang w:val="hy-AM"/>
              </w:rPr>
              <w:t>«</w:t>
            </w:r>
            <w:r w:rsidRPr="005A5FFE">
              <w:rPr>
                <w:rFonts w:ascii="GHEA Grapalat" w:hAnsi="GHEA Grapalat"/>
                <w:lang w:val="hy-AM"/>
              </w:rPr>
              <w:t xml:space="preserve">վերապատրաստումներից հետո ընդունելի արդյունքներով թեստավորում անցած վերապատրաստվածների </w:t>
            </w:r>
            <w:r>
              <w:rPr>
                <w:rFonts w:ascii="GHEA Grapalat" w:hAnsi="GHEA Grapalat"/>
                <w:lang w:val="hy-AM"/>
              </w:rPr>
              <w:t>(</w:t>
            </w:r>
            <w:r w:rsidRPr="005A5FFE">
              <w:rPr>
                <w:rFonts w:ascii="GHEA Grapalat" w:hAnsi="GHEA Grapalat"/>
                <w:lang w:val="hy-AM"/>
              </w:rPr>
              <w:t>դատավոր, դատախազ</w:t>
            </w:r>
            <w:r>
              <w:rPr>
                <w:rFonts w:ascii="GHEA Grapalat" w:hAnsi="GHEA Grapalat"/>
                <w:lang w:val="hy-AM"/>
              </w:rPr>
              <w:t>)</w:t>
            </w:r>
            <w:r w:rsidRPr="005A5FFE">
              <w:rPr>
                <w:rFonts w:ascii="GHEA Grapalat" w:hAnsi="GHEA Grapalat"/>
                <w:lang w:val="hy-AM"/>
              </w:rPr>
              <w:t xml:space="preserve"> տոկոսը</w:t>
            </w:r>
            <w:r w:rsidRPr="00C05A98">
              <w:rPr>
                <w:rFonts w:ascii="GHEA Grapalat" w:hAnsi="GHEA Grapalat"/>
                <w:lang w:val="hy-AM"/>
              </w:rPr>
              <w:t>»</w:t>
            </w:r>
            <w:r w:rsidRPr="005A5FFE">
              <w:rPr>
                <w:rFonts w:ascii="GHEA Grapalat" w:hAnsi="GHEA Grapalat"/>
                <w:lang w:val="hy-AM"/>
              </w:rPr>
              <w:t xml:space="preserve"> դրույթները (</w:t>
            </w:r>
            <w:r>
              <w:rPr>
                <w:rFonts w:ascii="GHEA Grapalat" w:hAnsi="GHEA Grapalat"/>
                <w:lang w:val="hy-AM"/>
              </w:rPr>
              <w:t xml:space="preserve">վերապատրաստումից հետո </w:t>
            </w:r>
            <w:r>
              <w:rPr>
                <w:rFonts w:ascii="GHEA Grapalat" w:hAnsi="GHEA Grapalat"/>
                <w:lang w:val="hy-AM"/>
              </w:rPr>
              <w:lastRenderedPageBreak/>
              <w:t>ընդունելի արդյունքներով թեստավորումների պահանջը</w:t>
            </w:r>
            <w:r w:rsidRPr="005A5FFE">
              <w:rPr>
                <w:rFonts w:ascii="GHEA Grapalat" w:hAnsi="GHEA Grapalat"/>
                <w:lang w:val="hy-AM"/>
              </w:rPr>
              <w:t>) թիվը՝ որպես ցուցանիշ</w:t>
            </w:r>
            <w:r>
              <w:rPr>
                <w:rFonts w:ascii="GHEA Grapalat" w:hAnsi="GHEA Grapalat"/>
                <w:lang w:val="hy-AM"/>
              </w:rPr>
              <w:t>,</w:t>
            </w:r>
            <w:r w:rsidRPr="005A5FFE">
              <w:rPr>
                <w:rFonts w:ascii="GHEA Grapalat" w:hAnsi="GHEA Grapalat"/>
                <w:lang w:val="hy-AM"/>
              </w:rPr>
              <w:t xml:space="preserve"> առաջին դեպքում ենթադրում է վերապատրաստված դատավոր</w:t>
            </w:r>
            <w:r w:rsidR="00484FC9">
              <w:rPr>
                <w:rFonts w:ascii="GHEA Grapalat" w:hAnsi="GHEA Grapalat"/>
                <w:lang w:val="hy-AM"/>
              </w:rPr>
              <w:t>ն</w:t>
            </w:r>
            <w:r w:rsidRPr="005A5FFE">
              <w:rPr>
                <w:rFonts w:ascii="GHEA Grapalat" w:hAnsi="GHEA Grapalat"/>
                <w:lang w:val="hy-AM"/>
              </w:rPr>
              <w:t>երի քանակը՝ արտահայտված տոկոսով, ընդհանուր դատավորների քանակի նկատմամբ, իսկ երկրորդ դեպքում՝ վերա</w:t>
            </w:r>
            <w:r w:rsidR="00484FC9">
              <w:rPr>
                <w:rFonts w:ascii="GHEA Grapalat" w:hAnsi="GHEA Grapalat"/>
                <w:lang w:val="hy-AM"/>
              </w:rPr>
              <w:softHyphen/>
            </w:r>
            <w:r w:rsidRPr="005A5FFE">
              <w:rPr>
                <w:rFonts w:ascii="GHEA Grapalat" w:hAnsi="GHEA Grapalat"/>
                <w:lang w:val="hy-AM"/>
              </w:rPr>
              <w:t xml:space="preserve">պատրաստման հավաստագիր ստացած դատավորների թվաքանակը: </w:t>
            </w:r>
          </w:p>
          <w:p w14:paraId="0D022B02" w14:textId="77777777" w:rsidR="00C77FE4" w:rsidRPr="00065480" w:rsidRDefault="00C77FE4" w:rsidP="00A50479">
            <w:pPr>
              <w:spacing w:after="0" w:line="360" w:lineRule="auto"/>
              <w:jc w:val="center"/>
              <w:rPr>
                <w:rFonts w:ascii="GHEA Grapalat" w:hAnsi="GHEA Grapalat"/>
                <w:lang w:val="hy-AM"/>
              </w:rPr>
            </w:pPr>
          </w:p>
        </w:tc>
      </w:tr>
      <w:tr w:rsidR="00DC5687" w:rsidRPr="00C05A98" w14:paraId="42AE5CE0" w14:textId="77777777" w:rsidTr="000A71EA">
        <w:trPr>
          <w:trHeight w:val="877"/>
        </w:trPr>
        <w:tc>
          <w:tcPr>
            <w:tcW w:w="2836" w:type="dxa"/>
            <w:tcBorders>
              <w:top w:val="single" w:sz="4" w:space="0" w:color="auto"/>
              <w:bottom w:val="single" w:sz="4" w:space="0" w:color="auto"/>
              <w:right w:val="single" w:sz="4" w:space="0" w:color="auto"/>
            </w:tcBorders>
          </w:tcPr>
          <w:p w14:paraId="41578A0A" w14:textId="77777777" w:rsidR="00DC5687" w:rsidRPr="00C05A98" w:rsidRDefault="00DC5687"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lastRenderedPageBreak/>
              <w:t>ՀՀ գլխավոր դատախազություն</w:t>
            </w:r>
          </w:p>
        </w:tc>
        <w:tc>
          <w:tcPr>
            <w:tcW w:w="8363" w:type="dxa"/>
            <w:tcBorders>
              <w:top w:val="single" w:sz="4" w:space="0" w:color="auto"/>
              <w:left w:val="single" w:sz="4" w:space="0" w:color="auto"/>
              <w:bottom w:val="single" w:sz="4" w:space="0" w:color="auto"/>
            </w:tcBorders>
            <w:vAlign w:val="center"/>
          </w:tcPr>
          <w:p w14:paraId="56576F8F" w14:textId="77777777" w:rsidR="00F15DE7" w:rsidRPr="00F15DE7" w:rsidRDefault="00F15DE7" w:rsidP="008C3C84">
            <w:pPr>
              <w:spacing w:after="0" w:line="360" w:lineRule="auto"/>
              <w:ind w:firstLine="567"/>
              <w:jc w:val="both"/>
              <w:rPr>
                <w:rFonts w:ascii="GHEA Grapalat" w:eastAsia="Times New Roman" w:hAnsi="GHEA Grapalat"/>
                <w:lang w:val="hy-AM" w:eastAsia="ru-RU"/>
              </w:rPr>
            </w:pPr>
            <w:r w:rsidRPr="00F15DE7">
              <w:rPr>
                <w:rFonts w:ascii="GHEA Grapalat" w:eastAsia="Times New Roman" w:hAnsi="GHEA Grapalat"/>
                <w:lang w:val="hy-AM" w:eastAsia="ru-RU"/>
              </w:rPr>
              <w:t>ՀՀ գլխավոր դատախազությունում ուսումնասիրվել է Հայաստանի Հանրապետության և Եվրոպական հանձնաժողովի միջև</w:t>
            </w:r>
            <w:r w:rsidR="00D86719" w:rsidRPr="00D86719">
              <w:rPr>
                <w:rFonts w:ascii="GHEA Grapalat" w:eastAsia="Times New Roman" w:hAnsi="GHEA Grapalat"/>
                <w:lang w:val="hy-AM" w:eastAsia="ru-RU"/>
              </w:rPr>
              <w:t xml:space="preserve"> </w:t>
            </w:r>
            <w:r w:rsidRPr="00F15DE7">
              <w:rPr>
                <w:rFonts w:ascii="GHEA Grapalat" w:eastAsia="Times New Roman" w:hAnsi="GHEA Grapalat"/>
                <w:lang w:val="hy-AM" w:eastAsia="ru-RU"/>
              </w:rPr>
              <w:t>«Աջակցություն Հայաստանում դատական ոլորտի բարեփոխումների իրականացմանը. Փուլ I»</w:t>
            </w:r>
            <w:r w:rsidR="00D86719" w:rsidRPr="00484FC9">
              <w:rPr>
                <w:rFonts w:ascii="GHEA Grapalat" w:eastAsia="Times New Roman" w:hAnsi="GHEA Grapalat"/>
                <w:lang w:val="hy-AM" w:eastAsia="ru-RU"/>
              </w:rPr>
              <w:t xml:space="preserve"> </w:t>
            </w:r>
            <w:r w:rsidRPr="00F15DE7">
              <w:rPr>
                <w:rFonts w:ascii="GHEA Grapalat" w:eastAsia="Times New Roman" w:hAnsi="GHEA Grapalat"/>
                <w:lang w:val="hy-AM" w:eastAsia="ru-RU"/>
              </w:rPr>
              <w:t>ֆինանսավորման համաձայնագրի նախագիծը:</w:t>
            </w:r>
          </w:p>
          <w:p w14:paraId="735F9730" w14:textId="1C10F107" w:rsidR="00DC5687" w:rsidRPr="00D86719" w:rsidRDefault="00F15DE7" w:rsidP="008C3C84">
            <w:pPr>
              <w:spacing w:after="0" w:line="360" w:lineRule="auto"/>
              <w:ind w:firstLine="567"/>
              <w:jc w:val="both"/>
              <w:rPr>
                <w:rFonts w:ascii="GHEA Grapalat" w:eastAsia="Times New Roman" w:hAnsi="GHEA Grapalat"/>
                <w:lang w:val="hy-AM" w:eastAsia="ru-RU"/>
              </w:rPr>
            </w:pPr>
            <w:r w:rsidRPr="00F15DE7">
              <w:rPr>
                <w:rFonts w:ascii="GHEA Grapalat" w:eastAsia="Times New Roman" w:hAnsi="GHEA Grapalat"/>
                <w:lang w:val="hy-AM" w:eastAsia="ru-RU"/>
              </w:rPr>
              <w:t>Հիշյալ փաստաթղթի</w:t>
            </w:r>
            <w:r w:rsidR="00484FC9">
              <w:rPr>
                <w:rFonts w:ascii="GHEA Grapalat" w:eastAsia="Times New Roman" w:hAnsi="GHEA Grapalat"/>
                <w:lang w:val="hy-AM" w:eastAsia="ru-RU"/>
              </w:rPr>
              <w:t xml:space="preserve"> </w:t>
            </w:r>
            <w:r w:rsidRPr="00F15DE7">
              <w:rPr>
                <w:rFonts w:ascii="GHEA Grapalat" w:eastAsia="Times New Roman" w:hAnsi="GHEA Grapalat"/>
                <w:lang w:val="hy-AM" w:eastAsia="ru-RU"/>
              </w:rPr>
              <w:t>վերաբերյալ առաջարկություններ չկան:</w:t>
            </w:r>
          </w:p>
        </w:tc>
        <w:tc>
          <w:tcPr>
            <w:tcW w:w="3544" w:type="dxa"/>
            <w:tcBorders>
              <w:top w:val="single" w:sz="4" w:space="0" w:color="auto"/>
              <w:left w:val="single" w:sz="4" w:space="0" w:color="auto"/>
              <w:bottom w:val="single" w:sz="4" w:space="0" w:color="auto"/>
            </w:tcBorders>
          </w:tcPr>
          <w:p w14:paraId="35380F43" w14:textId="77777777" w:rsidR="00DC5687" w:rsidRPr="00C05A98" w:rsidRDefault="009E2AEA" w:rsidP="00A50479">
            <w:pPr>
              <w:spacing w:after="0" w:line="360" w:lineRule="auto"/>
              <w:jc w:val="center"/>
              <w:rPr>
                <w:rFonts w:ascii="GHEA Grapalat" w:hAnsi="GHEA Grapalat" w:cs="Sylfaen"/>
                <w:lang w:val="hy-AM"/>
              </w:rPr>
            </w:pPr>
            <w:r w:rsidRPr="00C05A98">
              <w:rPr>
                <w:rFonts w:ascii="GHEA Grapalat" w:hAnsi="GHEA Grapalat" w:cs="Sylfaen"/>
                <w:color w:val="000000"/>
                <w:lang w:val="hy-AM"/>
              </w:rPr>
              <w:t>Ընդունվել է ի գիտություն</w:t>
            </w:r>
          </w:p>
        </w:tc>
      </w:tr>
      <w:tr w:rsidR="00743D15" w:rsidRPr="00C05A98" w14:paraId="7A3CED4B" w14:textId="77777777" w:rsidTr="003A0DC7">
        <w:trPr>
          <w:trHeight w:val="877"/>
        </w:trPr>
        <w:tc>
          <w:tcPr>
            <w:tcW w:w="2836" w:type="dxa"/>
            <w:tcBorders>
              <w:top w:val="single" w:sz="4" w:space="0" w:color="auto"/>
              <w:bottom w:val="single" w:sz="4" w:space="0" w:color="auto"/>
              <w:right w:val="single" w:sz="4" w:space="0" w:color="auto"/>
            </w:tcBorders>
          </w:tcPr>
          <w:p w14:paraId="362DC78E" w14:textId="77777777" w:rsidR="00743D15" w:rsidRPr="00C05A98" w:rsidRDefault="00743D15"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ՀՀ բարձրագույն դատական խորհուրդ</w:t>
            </w:r>
          </w:p>
        </w:tc>
        <w:tc>
          <w:tcPr>
            <w:tcW w:w="8363" w:type="dxa"/>
            <w:vMerge w:val="restart"/>
            <w:tcBorders>
              <w:top w:val="single" w:sz="4" w:space="0" w:color="auto"/>
              <w:left w:val="single" w:sz="4" w:space="0" w:color="auto"/>
            </w:tcBorders>
            <w:vAlign w:val="center"/>
          </w:tcPr>
          <w:p w14:paraId="154D65AF" w14:textId="77777777" w:rsidR="00743D15" w:rsidRPr="00743D15" w:rsidRDefault="00743D15" w:rsidP="00FE5474">
            <w:pPr>
              <w:autoSpaceDE w:val="0"/>
              <w:autoSpaceDN w:val="0"/>
              <w:adjustRightInd w:val="0"/>
              <w:spacing w:after="0" w:line="360" w:lineRule="auto"/>
              <w:ind w:right="389"/>
              <w:jc w:val="both"/>
              <w:rPr>
                <w:rFonts w:ascii="GHEA Grapalat" w:eastAsia="Times New Roman" w:hAnsi="GHEA Grapalat"/>
                <w:lang w:val="ru-RU"/>
              </w:rPr>
            </w:pPr>
            <w:r w:rsidRPr="00C05A98">
              <w:rPr>
                <w:rFonts w:ascii="GHEA Grapalat" w:hAnsi="GHEA Grapalat"/>
                <w:lang w:val="hy-AM"/>
              </w:rPr>
              <w:t xml:space="preserve">Հայաստանի Հանրապետության և Եվրոպական հանձնաժողովի միջև «Աջակցություն Հայաստանում դատական ոլորտի բարեփոխումների իրականացմանը. Փուլ </w:t>
            </w:r>
            <w:r w:rsidRPr="00C05A98">
              <w:rPr>
                <w:rFonts w:ascii="GHEA Grapalat" w:hAnsi="GHEA Grapalat"/>
                <w:snapToGrid w:val="0"/>
                <w:lang w:val="hy-AM"/>
              </w:rPr>
              <w:t>I</w:t>
            </w:r>
            <w:r w:rsidRPr="00C05A98">
              <w:rPr>
                <w:rFonts w:ascii="GHEA Grapalat" w:hAnsi="GHEA Grapalat"/>
                <w:lang w:val="hy-AM"/>
              </w:rPr>
              <w:t xml:space="preserve">» ֆինանսավորման </w:t>
            </w:r>
            <w:proofErr w:type="spellStart"/>
            <w:r>
              <w:rPr>
                <w:rFonts w:ascii="GHEA Grapalat" w:hAnsi="GHEA Grapalat"/>
                <w:lang w:val="hy-AM"/>
              </w:rPr>
              <w:t>համաձայնագ</w:t>
            </w:r>
            <w:r>
              <w:rPr>
                <w:rFonts w:ascii="GHEA Grapalat" w:hAnsi="GHEA Grapalat"/>
                <w:lang w:val="ru-RU"/>
              </w:rPr>
              <w:t>րի</w:t>
            </w:r>
            <w:proofErr w:type="spellEnd"/>
            <w:r>
              <w:rPr>
                <w:rFonts w:ascii="GHEA Grapalat" w:hAnsi="GHEA Grapalat"/>
                <w:lang w:val="ru-RU"/>
              </w:rPr>
              <w:t xml:space="preserve"> </w:t>
            </w:r>
            <w:proofErr w:type="spellStart"/>
            <w:r>
              <w:rPr>
                <w:rFonts w:ascii="GHEA Grapalat" w:hAnsi="GHEA Grapalat"/>
                <w:lang w:val="ru-RU"/>
              </w:rPr>
              <w:t>նախագծի</w:t>
            </w:r>
            <w:proofErr w:type="spellEnd"/>
            <w:r>
              <w:rPr>
                <w:rFonts w:ascii="GHEA Grapalat" w:hAnsi="GHEA Grapalat"/>
                <w:lang w:val="ru-RU"/>
              </w:rPr>
              <w:t xml:space="preserve"> </w:t>
            </w:r>
            <w:proofErr w:type="spellStart"/>
            <w:r>
              <w:rPr>
                <w:rFonts w:ascii="GHEA Grapalat" w:hAnsi="GHEA Grapalat"/>
                <w:lang w:val="ru-RU"/>
              </w:rPr>
              <w:t>վերաբերյալ</w:t>
            </w:r>
            <w:proofErr w:type="spellEnd"/>
            <w:r>
              <w:rPr>
                <w:rFonts w:ascii="GHEA Grapalat" w:hAnsi="GHEA Grapalat"/>
                <w:lang w:val="ru-RU"/>
              </w:rPr>
              <w:t xml:space="preserve"> </w:t>
            </w:r>
            <w:proofErr w:type="spellStart"/>
            <w:r>
              <w:rPr>
                <w:rFonts w:ascii="GHEA Grapalat" w:hAnsi="GHEA Grapalat"/>
                <w:lang w:val="ru-RU"/>
              </w:rPr>
              <w:t>առաջարկություններ</w:t>
            </w:r>
            <w:proofErr w:type="spellEnd"/>
            <w:r>
              <w:rPr>
                <w:rFonts w:ascii="GHEA Grapalat" w:hAnsi="GHEA Grapalat"/>
                <w:lang w:val="ru-RU"/>
              </w:rPr>
              <w:t xml:space="preserve"> </w:t>
            </w:r>
            <w:proofErr w:type="spellStart"/>
            <w:r>
              <w:rPr>
                <w:rFonts w:ascii="GHEA Grapalat" w:hAnsi="GHEA Grapalat"/>
                <w:lang w:val="ru-RU"/>
              </w:rPr>
              <w:t>չկան</w:t>
            </w:r>
            <w:proofErr w:type="spellEnd"/>
            <w:r>
              <w:rPr>
                <w:rFonts w:ascii="GHEA Grapalat" w:hAnsi="GHEA Grapalat"/>
                <w:lang w:val="ru-RU"/>
              </w:rPr>
              <w:t>:</w:t>
            </w:r>
          </w:p>
        </w:tc>
        <w:tc>
          <w:tcPr>
            <w:tcW w:w="3544" w:type="dxa"/>
            <w:vMerge w:val="restart"/>
            <w:tcBorders>
              <w:top w:val="single" w:sz="4" w:space="0" w:color="auto"/>
              <w:left w:val="single" w:sz="4" w:space="0" w:color="auto"/>
            </w:tcBorders>
          </w:tcPr>
          <w:p w14:paraId="5542AEE8" w14:textId="77777777" w:rsidR="00743D15" w:rsidRPr="00C05A98" w:rsidRDefault="00743D15" w:rsidP="00A50479">
            <w:pPr>
              <w:spacing w:after="0" w:line="360" w:lineRule="auto"/>
              <w:jc w:val="center"/>
              <w:rPr>
                <w:rFonts w:ascii="GHEA Grapalat" w:hAnsi="GHEA Grapalat" w:cs="Sylfaen"/>
                <w:lang w:val="hy-AM"/>
              </w:rPr>
            </w:pPr>
            <w:r w:rsidRPr="00C05A98">
              <w:rPr>
                <w:rFonts w:ascii="GHEA Grapalat" w:hAnsi="GHEA Grapalat" w:cs="Sylfaen"/>
                <w:color w:val="000000"/>
                <w:lang w:val="hy-AM"/>
              </w:rPr>
              <w:t>Ընդունվել է ի գիտություն</w:t>
            </w:r>
          </w:p>
        </w:tc>
      </w:tr>
      <w:tr w:rsidR="00743D15" w:rsidRPr="00C05A98" w14:paraId="705D74C5" w14:textId="77777777" w:rsidTr="003A0DC7">
        <w:trPr>
          <w:trHeight w:val="877"/>
        </w:trPr>
        <w:tc>
          <w:tcPr>
            <w:tcW w:w="2836" w:type="dxa"/>
            <w:tcBorders>
              <w:top w:val="single" w:sz="4" w:space="0" w:color="auto"/>
              <w:bottom w:val="single" w:sz="4" w:space="0" w:color="auto"/>
              <w:right w:val="single" w:sz="4" w:space="0" w:color="auto"/>
            </w:tcBorders>
          </w:tcPr>
          <w:p w14:paraId="0E684F7C" w14:textId="77777777" w:rsidR="00743D15" w:rsidRPr="00C05A98" w:rsidRDefault="00743D15"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ՀՀ դատական դեպարտամենտ</w:t>
            </w:r>
          </w:p>
        </w:tc>
        <w:tc>
          <w:tcPr>
            <w:tcW w:w="8363" w:type="dxa"/>
            <w:vMerge/>
            <w:tcBorders>
              <w:left w:val="single" w:sz="4" w:space="0" w:color="auto"/>
              <w:bottom w:val="single" w:sz="4" w:space="0" w:color="auto"/>
            </w:tcBorders>
            <w:vAlign w:val="center"/>
          </w:tcPr>
          <w:p w14:paraId="52BDF7A0" w14:textId="77777777" w:rsidR="00743D15" w:rsidRPr="00C05A98" w:rsidRDefault="00743D15" w:rsidP="00FE5474">
            <w:pPr>
              <w:autoSpaceDE w:val="0"/>
              <w:autoSpaceDN w:val="0"/>
              <w:adjustRightInd w:val="0"/>
              <w:spacing w:after="0" w:line="360" w:lineRule="auto"/>
              <w:ind w:right="389"/>
              <w:jc w:val="both"/>
              <w:rPr>
                <w:rFonts w:ascii="GHEA Grapalat" w:eastAsia="Times New Roman" w:hAnsi="GHEA Grapalat"/>
                <w:lang w:val="hy-AM"/>
              </w:rPr>
            </w:pPr>
          </w:p>
        </w:tc>
        <w:tc>
          <w:tcPr>
            <w:tcW w:w="3544" w:type="dxa"/>
            <w:vMerge/>
            <w:tcBorders>
              <w:left w:val="single" w:sz="4" w:space="0" w:color="auto"/>
              <w:bottom w:val="single" w:sz="4" w:space="0" w:color="auto"/>
            </w:tcBorders>
          </w:tcPr>
          <w:p w14:paraId="5CD19C13" w14:textId="77777777" w:rsidR="00743D15" w:rsidRPr="00C05A98" w:rsidRDefault="00743D15" w:rsidP="00A50479">
            <w:pPr>
              <w:spacing w:after="0" w:line="360" w:lineRule="auto"/>
              <w:jc w:val="center"/>
              <w:rPr>
                <w:rFonts w:ascii="GHEA Grapalat" w:hAnsi="GHEA Grapalat" w:cs="Sylfaen"/>
                <w:lang w:val="hy-AM"/>
              </w:rPr>
            </w:pPr>
          </w:p>
        </w:tc>
      </w:tr>
      <w:tr w:rsidR="00FE5474" w:rsidRPr="00484FC9" w14:paraId="1124704E" w14:textId="77777777" w:rsidTr="000A71EA">
        <w:trPr>
          <w:trHeight w:val="877"/>
        </w:trPr>
        <w:tc>
          <w:tcPr>
            <w:tcW w:w="2836" w:type="dxa"/>
            <w:tcBorders>
              <w:top w:val="single" w:sz="4" w:space="0" w:color="auto"/>
              <w:bottom w:val="single" w:sz="4" w:space="0" w:color="auto"/>
              <w:right w:val="single" w:sz="4" w:space="0" w:color="auto"/>
            </w:tcBorders>
          </w:tcPr>
          <w:p w14:paraId="4C558AAC" w14:textId="77777777" w:rsidR="00FE5474" w:rsidRPr="00C05A98" w:rsidRDefault="00FE5474" w:rsidP="00D93882">
            <w:pPr>
              <w:widowControl w:val="0"/>
              <w:tabs>
                <w:tab w:val="left" w:pos="4536"/>
              </w:tabs>
              <w:spacing w:after="0" w:line="360" w:lineRule="auto"/>
              <w:jc w:val="center"/>
              <w:textAlignment w:val="baseline"/>
              <w:rPr>
                <w:rFonts w:ascii="GHEA Grapalat" w:hAnsi="GHEA Grapalat" w:cs="Sylfaen"/>
                <w:b/>
                <w:color w:val="000000"/>
                <w:lang w:val="hy-AM"/>
              </w:rPr>
            </w:pPr>
            <w:r w:rsidRPr="00C05A98">
              <w:rPr>
                <w:rFonts w:ascii="GHEA Grapalat" w:hAnsi="GHEA Grapalat" w:cs="Sylfaen"/>
                <w:b/>
                <w:color w:val="000000"/>
                <w:lang w:val="hy-AM"/>
              </w:rPr>
              <w:t>ՀՀ կոռուպցիայի կանխարգելման հանձնաժողով</w:t>
            </w:r>
          </w:p>
        </w:tc>
        <w:tc>
          <w:tcPr>
            <w:tcW w:w="8363" w:type="dxa"/>
            <w:tcBorders>
              <w:top w:val="single" w:sz="4" w:space="0" w:color="auto"/>
              <w:left w:val="single" w:sz="4" w:space="0" w:color="auto"/>
              <w:bottom w:val="single" w:sz="4" w:space="0" w:color="auto"/>
            </w:tcBorders>
            <w:vAlign w:val="center"/>
          </w:tcPr>
          <w:p w14:paraId="08B5D1EA" w14:textId="77777777" w:rsidR="00FE5474" w:rsidRPr="00870106" w:rsidRDefault="00680079" w:rsidP="008C3C84">
            <w:pPr>
              <w:autoSpaceDE w:val="0"/>
              <w:autoSpaceDN w:val="0"/>
              <w:adjustRightInd w:val="0"/>
              <w:spacing w:after="0" w:line="360" w:lineRule="auto"/>
              <w:ind w:right="33" w:firstLine="601"/>
              <w:jc w:val="both"/>
              <w:rPr>
                <w:rFonts w:ascii="GHEA Grapalat" w:eastAsia="Times New Roman" w:hAnsi="GHEA Grapalat"/>
                <w:lang w:val="hy-AM"/>
              </w:rPr>
            </w:pPr>
            <w:r>
              <w:rPr>
                <w:rFonts w:ascii="GHEA Grapalat" w:eastAsia="Times New Roman" w:hAnsi="GHEA Grapalat"/>
                <w:lang w:val="hy-AM"/>
              </w:rPr>
              <w:t xml:space="preserve">Նախագծի </w:t>
            </w:r>
            <w:r w:rsidRPr="00C05A98">
              <w:rPr>
                <w:rFonts w:ascii="GHEA Grapalat" w:hAnsi="GHEA Grapalat"/>
                <w:lang w:val="hy-AM"/>
              </w:rPr>
              <w:t>«</w:t>
            </w:r>
            <w:r>
              <w:rPr>
                <w:rFonts w:ascii="GHEA Grapalat" w:hAnsi="GHEA Grapalat"/>
                <w:lang w:val="hy-AM"/>
              </w:rPr>
              <w:t>Հավելված 1. Փոփոխական տրանշների կատարողականի ցուցանիշները</w:t>
            </w:r>
            <w:r w:rsidRPr="00C05A98">
              <w:rPr>
                <w:rFonts w:ascii="GHEA Grapalat" w:hAnsi="GHEA Grapalat"/>
                <w:lang w:val="hy-AM"/>
              </w:rPr>
              <w:t>»</w:t>
            </w:r>
            <w:r>
              <w:rPr>
                <w:rFonts w:ascii="GHEA Grapalat" w:hAnsi="GHEA Grapalat"/>
                <w:lang w:val="hy-AM"/>
              </w:rPr>
              <w:t xml:space="preserve"> վերտառությամբ հավելվածի ներքո </w:t>
            </w:r>
            <w:r w:rsidRPr="00C05A98">
              <w:rPr>
                <w:rFonts w:ascii="GHEA Grapalat" w:hAnsi="GHEA Grapalat"/>
                <w:lang w:val="hy-AM"/>
              </w:rPr>
              <w:t>«</w:t>
            </w:r>
            <w:r>
              <w:rPr>
                <w:rFonts w:ascii="GHEA Grapalat" w:hAnsi="GHEA Grapalat"/>
                <w:lang w:val="hy-AM"/>
              </w:rPr>
              <w:t xml:space="preserve">Վերանայված </w:t>
            </w:r>
            <w:r w:rsidRPr="00680079">
              <w:rPr>
                <w:rFonts w:ascii="GHEA Grapalat" w:hAnsi="GHEA Grapalat"/>
                <w:lang w:val="hy-AM"/>
              </w:rPr>
              <w:t xml:space="preserve">(ընդունված) ընթացակարգին համապատասխան բարեվարքության ստուգումներ անցած </w:t>
            </w:r>
            <w:r w:rsidRPr="00680079">
              <w:rPr>
                <w:rFonts w:ascii="GHEA Grapalat" w:hAnsi="GHEA Grapalat"/>
                <w:lang w:val="hy-AM"/>
              </w:rPr>
              <w:lastRenderedPageBreak/>
              <w:t>դատավորների թիվը</w:t>
            </w:r>
            <w:r w:rsidRPr="00C05A98">
              <w:rPr>
                <w:rFonts w:ascii="GHEA Grapalat" w:hAnsi="GHEA Grapalat"/>
                <w:lang w:val="hy-AM"/>
              </w:rPr>
              <w:t>»</w:t>
            </w:r>
            <w:r w:rsidRPr="00680079">
              <w:rPr>
                <w:rFonts w:ascii="GHEA Grapalat" w:hAnsi="GHEA Grapalat"/>
                <w:lang w:val="hy-AM"/>
              </w:rPr>
              <w:t xml:space="preserve"> վերնագրի մեջ և դրան  հաջորդող </w:t>
            </w:r>
            <w:r w:rsidRPr="00C05A98">
              <w:rPr>
                <w:rFonts w:ascii="GHEA Grapalat" w:hAnsi="GHEA Grapalat"/>
                <w:lang w:val="hy-AM"/>
              </w:rPr>
              <w:t>«</w:t>
            </w:r>
            <w:r w:rsidRPr="00680079">
              <w:rPr>
                <w:rFonts w:ascii="GHEA Grapalat" w:hAnsi="GHEA Grapalat"/>
                <w:lang w:val="hy-AM"/>
              </w:rPr>
              <w:t>Հաշվարկման մեթոդը</w:t>
            </w:r>
            <w:r w:rsidRPr="00C05A98">
              <w:rPr>
                <w:rFonts w:ascii="GHEA Grapalat" w:hAnsi="GHEA Grapalat"/>
                <w:lang w:val="hy-AM"/>
              </w:rPr>
              <w:t>»</w:t>
            </w:r>
            <w:r w:rsidRPr="00680079">
              <w:rPr>
                <w:rFonts w:ascii="GHEA Grapalat" w:hAnsi="GHEA Grapalat"/>
                <w:lang w:val="hy-AM"/>
              </w:rPr>
              <w:t xml:space="preserve"> ցուցանիշի ներքո, ինչպես նաև նույն փաստաթղթի 20-րդ էջում </w:t>
            </w:r>
            <w:r w:rsidRPr="00C05A98">
              <w:rPr>
                <w:rFonts w:ascii="GHEA Grapalat" w:hAnsi="GHEA Grapalat"/>
                <w:lang w:val="hy-AM"/>
              </w:rPr>
              <w:t>«</w:t>
            </w:r>
            <w:r w:rsidRPr="00680079">
              <w:rPr>
                <w:rFonts w:ascii="GHEA Grapalat" w:hAnsi="GHEA Grapalat"/>
                <w:lang w:val="hy-AM"/>
              </w:rPr>
              <w:t>Աղյուսակ Դ. Կատարողականի ցուցանիշները և փոփոխական տրանշների մասհանման թիրախները</w:t>
            </w:r>
            <w:r w:rsidRPr="00C05A98">
              <w:rPr>
                <w:rFonts w:ascii="GHEA Grapalat" w:hAnsi="GHEA Grapalat"/>
                <w:lang w:val="hy-AM"/>
              </w:rPr>
              <w:t>»</w:t>
            </w:r>
            <w:r w:rsidRPr="00680079">
              <w:rPr>
                <w:rFonts w:ascii="GHEA Grapalat" w:hAnsi="GHEA Grapalat"/>
                <w:lang w:val="hy-AM"/>
              </w:rPr>
              <w:t xml:space="preserve"> վերնագրի ներքո 2021 թվականի համար որպես թիրախ է նշված, որ 129 գործող դատավոր անցել է բարեվարքության ստուգում՝ վերանայված </w:t>
            </w:r>
            <w:r>
              <w:rPr>
                <w:rFonts w:ascii="GHEA Grapalat" w:hAnsi="GHEA Grapalat"/>
                <w:lang w:val="hy-AM"/>
              </w:rPr>
              <w:t>(</w:t>
            </w:r>
            <w:r w:rsidRPr="00680079">
              <w:rPr>
                <w:rFonts w:ascii="GHEA Grapalat" w:hAnsi="GHEA Grapalat"/>
                <w:lang w:val="hy-AM"/>
              </w:rPr>
              <w:t>ընդունված</w:t>
            </w:r>
            <w:r>
              <w:rPr>
                <w:rFonts w:ascii="GHEA Grapalat" w:hAnsi="GHEA Grapalat"/>
                <w:lang w:val="hy-AM"/>
              </w:rPr>
              <w:t>)</w:t>
            </w:r>
            <w:r w:rsidRPr="00680079">
              <w:rPr>
                <w:rFonts w:ascii="GHEA Grapalat" w:hAnsi="GHEA Grapalat"/>
                <w:lang w:val="hy-AM"/>
              </w:rPr>
              <w:t xml:space="preserve"> ընթացակարգին համապատասխան: 2022 թվականի համար՝ համապատասխանաբար 180 գործող դատավոր անցել է բարեվարքության ստուգում՝ վերանայված </w:t>
            </w:r>
            <w:r>
              <w:rPr>
                <w:rFonts w:ascii="GHEA Grapalat" w:hAnsi="GHEA Grapalat"/>
                <w:lang w:val="hy-AM"/>
              </w:rPr>
              <w:t>(</w:t>
            </w:r>
            <w:r w:rsidRPr="00680079">
              <w:rPr>
                <w:rFonts w:ascii="GHEA Grapalat" w:hAnsi="GHEA Grapalat"/>
                <w:lang w:val="hy-AM"/>
              </w:rPr>
              <w:t>ընդունված</w:t>
            </w:r>
            <w:r>
              <w:rPr>
                <w:rFonts w:ascii="GHEA Grapalat" w:hAnsi="GHEA Grapalat"/>
                <w:lang w:val="hy-AM"/>
              </w:rPr>
              <w:t>)</w:t>
            </w:r>
            <w:r w:rsidRPr="00680079">
              <w:rPr>
                <w:rFonts w:ascii="GHEA Grapalat" w:hAnsi="GHEA Grapalat"/>
                <w:lang w:val="hy-AM"/>
              </w:rPr>
              <w:t xml:space="preserve"> ընթացակարգին համապատասխան: Որպես կատարող նշված է նաև Կոռուպցիայի կանխարգելման հանձնաժողովը, մինչդեռ գործող օրենսդրական կարգավորումներով Հանձնաժողովը գործող դատավորների բարեվարքության ստուգման որևէ լիազորություն չունի</w:t>
            </w:r>
            <w:r>
              <w:rPr>
                <w:rFonts w:ascii="GHEA Grapalat" w:hAnsi="GHEA Grapalat"/>
                <w:lang w:val="hy-AM"/>
              </w:rPr>
              <w:t>:</w:t>
            </w:r>
            <w:r w:rsidRPr="00680079">
              <w:rPr>
                <w:rFonts w:ascii="GHEA Grapalat" w:hAnsi="GHEA Grapalat"/>
                <w:lang w:val="hy-AM"/>
              </w:rPr>
              <w:t xml:space="preserve"> </w:t>
            </w:r>
            <w:r w:rsidRPr="00C05A98">
              <w:rPr>
                <w:rFonts w:ascii="GHEA Grapalat" w:hAnsi="GHEA Grapalat"/>
                <w:lang w:val="hy-AM"/>
              </w:rPr>
              <w:t>«</w:t>
            </w:r>
            <w:r w:rsidRPr="00680079">
              <w:rPr>
                <w:rFonts w:ascii="GHEA Grapalat" w:hAnsi="GHEA Grapalat"/>
                <w:lang w:val="hy-AM"/>
              </w:rPr>
              <w:t>Կոռուպցիայի կանխարգելման հանձնաժողովի մասին</w:t>
            </w:r>
            <w:r w:rsidRPr="00C05A98">
              <w:rPr>
                <w:rFonts w:ascii="GHEA Grapalat" w:hAnsi="GHEA Grapalat"/>
                <w:lang w:val="hy-AM"/>
              </w:rPr>
              <w:t>»</w:t>
            </w:r>
            <w:r w:rsidRPr="00680079">
              <w:rPr>
                <w:rFonts w:ascii="GHEA Grapalat" w:hAnsi="GHEA Grapalat"/>
                <w:lang w:val="hy-AM"/>
              </w:rPr>
              <w:t xml:space="preserve"> ՀՀ օրենքում փոփոխություններ և լրացումներ կատարելու մասին ՀՕ-199-Ն օրենքով՝ Հանձնաժողովը իրականացնում է </w:t>
            </w:r>
            <w:r w:rsidRPr="00C05A98">
              <w:rPr>
                <w:rFonts w:ascii="GHEA Grapalat" w:hAnsi="GHEA Grapalat"/>
                <w:lang w:val="hy-AM"/>
              </w:rPr>
              <w:t>«</w:t>
            </w:r>
            <w:r w:rsidRPr="00680079">
              <w:rPr>
                <w:rFonts w:ascii="GHEA Grapalat" w:hAnsi="GHEA Grapalat"/>
                <w:lang w:val="hy-AM"/>
              </w:rPr>
              <w:t>Հանրային ծառայության մասին</w:t>
            </w:r>
            <w:r w:rsidRPr="00C05A98">
              <w:rPr>
                <w:rFonts w:ascii="GHEA Grapalat" w:hAnsi="GHEA Grapalat"/>
                <w:lang w:val="hy-AM"/>
              </w:rPr>
              <w:t>»</w:t>
            </w:r>
            <w:r w:rsidRPr="00680079">
              <w:rPr>
                <w:rFonts w:ascii="GHEA Grapalat" w:hAnsi="GHEA Grapalat"/>
                <w:lang w:val="hy-AM"/>
              </w:rPr>
              <w:t xml:space="preserve"> ՀՀ օրենքով պետական պաշտոնի նշանակման ենթակա անձանց, այդ թվում՝ դատավորների թեկնածուների հավակնորդների բարեվարքության ստուգում, իսկ նույն օրենքի 14-րդ հոդվածով՝ </w:t>
            </w:r>
            <w:r w:rsidRPr="00C05A98">
              <w:rPr>
                <w:rFonts w:ascii="GHEA Grapalat" w:hAnsi="GHEA Grapalat"/>
                <w:lang w:val="hy-AM"/>
              </w:rPr>
              <w:t>«</w:t>
            </w:r>
            <w:r w:rsidRPr="00680079">
              <w:rPr>
                <w:rFonts w:ascii="GHEA Grapalat" w:hAnsi="GHEA Grapalat"/>
                <w:lang w:val="hy-AM"/>
              </w:rPr>
              <w:t>Եզրափակիչ մաս և անցումային դրույթներով</w:t>
            </w:r>
            <w:r w:rsidRPr="00C05A98">
              <w:rPr>
                <w:rFonts w:ascii="GHEA Grapalat" w:hAnsi="GHEA Grapalat"/>
                <w:lang w:val="hy-AM"/>
              </w:rPr>
              <w:t>»</w:t>
            </w:r>
            <w:r w:rsidRPr="00680079">
              <w:rPr>
                <w:rFonts w:ascii="GHEA Grapalat" w:hAnsi="GHEA Grapalat"/>
                <w:lang w:val="hy-AM"/>
              </w:rPr>
              <w:t xml:space="preserve"> Հանձնաժողովը վերլուծում է միայն գործող դատավորների հայտարարագրերը: Հետևաբար՝ </w:t>
            </w:r>
            <w:r w:rsidRPr="00C05A98">
              <w:rPr>
                <w:rFonts w:ascii="GHEA Grapalat" w:hAnsi="GHEA Grapalat"/>
                <w:lang w:val="hy-AM"/>
              </w:rPr>
              <w:t>«</w:t>
            </w:r>
            <w:r w:rsidRPr="00680079">
              <w:rPr>
                <w:rFonts w:ascii="GHEA Grapalat" w:hAnsi="GHEA Grapalat"/>
                <w:lang w:val="hy-AM"/>
              </w:rPr>
              <w:t>Հավելված 1. Փ</w:t>
            </w:r>
            <w:r w:rsidRPr="00870106">
              <w:rPr>
                <w:rFonts w:ascii="GHEA Grapalat" w:hAnsi="GHEA Grapalat"/>
                <w:lang w:val="hy-AM"/>
              </w:rPr>
              <w:t>ոփոխական տրանշների կատարողականի ցուցանիշներըը</w:t>
            </w:r>
            <w:r w:rsidRPr="00C05A98">
              <w:rPr>
                <w:rFonts w:ascii="GHEA Grapalat" w:hAnsi="GHEA Grapalat"/>
                <w:lang w:val="hy-AM"/>
              </w:rPr>
              <w:t>»</w:t>
            </w:r>
            <w:r w:rsidRPr="00870106">
              <w:rPr>
                <w:rFonts w:ascii="GHEA Grapalat" w:hAnsi="GHEA Grapalat"/>
                <w:lang w:val="hy-AM"/>
              </w:rPr>
              <w:t xml:space="preserve"> փաստաթղթղի </w:t>
            </w:r>
            <w:r w:rsidRPr="00C05A98">
              <w:rPr>
                <w:rFonts w:ascii="GHEA Grapalat" w:hAnsi="GHEA Grapalat"/>
                <w:lang w:val="hy-AM"/>
              </w:rPr>
              <w:t>«</w:t>
            </w:r>
            <w:r w:rsidRPr="00870106">
              <w:rPr>
                <w:rFonts w:ascii="GHEA Grapalat" w:hAnsi="GHEA Grapalat"/>
                <w:lang w:val="hy-AM"/>
              </w:rPr>
              <w:t>գործող դատավորների բարեվարքության ստուգում</w:t>
            </w:r>
            <w:r w:rsidRPr="00C05A98">
              <w:rPr>
                <w:rFonts w:ascii="GHEA Grapalat" w:hAnsi="GHEA Grapalat"/>
                <w:lang w:val="hy-AM"/>
              </w:rPr>
              <w:t>»</w:t>
            </w:r>
            <w:r w:rsidRPr="00680079">
              <w:rPr>
                <w:rFonts w:ascii="GHEA Grapalat" w:hAnsi="GHEA Grapalat"/>
                <w:lang w:val="hy-AM"/>
              </w:rPr>
              <w:t xml:space="preserve"> </w:t>
            </w:r>
            <w:r w:rsidRPr="00870106">
              <w:rPr>
                <w:rFonts w:ascii="GHEA Grapalat" w:hAnsi="GHEA Grapalat"/>
                <w:lang w:val="hy-AM"/>
              </w:rPr>
              <w:t>ձևակերպմամբ 2021 թվականի և 2022 թվականի թիրախներն առանց համապատասխան օրենսդրական փոփոխությունների չեն կարող իրականացվել:</w:t>
            </w:r>
          </w:p>
        </w:tc>
        <w:tc>
          <w:tcPr>
            <w:tcW w:w="3544" w:type="dxa"/>
            <w:tcBorders>
              <w:top w:val="single" w:sz="4" w:space="0" w:color="auto"/>
              <w:left w:val="single" w:sz="4" w:space="0" w:color="auto"/>
              <w:bottom w:val="single" w:sz="4" w:space="0" w:color="auto"/>
            </w:tcBorders>
          </w:tcPr>
          <w:p w14:paraId="1C2AA395" w14:textId="5A2689C4" w:rsidR="0074299A" w:rsidRPr="0074299A" w:rsidRDefault="0074299A" w:rsidP="0074299A">
            <w:pPr>
              <w:spacing w:after="0" w:line="240" w:lineRule="auto"/>
              <w:rPr>
                <w:rFonts w:ascii="GHEA Grapalat" w:hAnsi="GHEA Grapalat" w:cs="Sylfaen"/>
                <w:color w:val="000000"/>
                <w:lang w:val="hy-AM"/>
              </w:rPr>
            </w:pPr>
            <w:r>
              <w:rPr>
                <w:rFonts w:ascii="GHEA Grapalat" w:hAnsi="GHEA Grapalat" w:cs="Sylfaen"/>
                <w:color w:val="000000"/>
                <w:lang w:val="hy-AM"/>
              </w:rPr>
              <w:lastRenderedPageBreak/>
              <w:t xml:space="preserve">Դատավորների </w:t>
            </w:r>
            <w:proofErr w:type="spellStart"/>
            <w:r>
              <w:rPr>
                <w:rFonts w:ascii="GHEA Grapalat" w:hAnsi="GHEA Grapalat" w:cs="Sylfaen"/>
                <w:color w:val="000000"/>
                <w:lang w:val="hy-AM"/>
              </w:rPr>
              <w:t>բարեվարքությանն</w:t>
            </w:r>
            <w:proofErr w:type="spellEnd"/>
            <w:r>
              <w:rPr>
                <w:rFonts w:ascii="GHEA Grapalat" w:hAnsi="GHEA Grapalat" w:cs="Sylfaen"/>
                <w:color w:val="000000"/>
                <w:lang w:val="hy-AM"/>
              </w:rPr>
              <w:t xml:space="preserve"> վերաբերյալ ցուց</w:t>
            </w:r>
            <w:r w:rsidR="00484FC9">
              <w:rPr>
                <w:rFonts w:ascii="GHEA Grapalat" w:hAnsi="GHEA Grapalat" w:cs="Sylfaen"/>
                <w:color w:val="000000"/>
                <w:lang w:val="hy-AM"/>
              </w:rPr>
              <w:t>ա</w:t>
            </w:r>
            <w:r>
              <w:rPr>
                <w:rFonts w:ascii="GHEA Grapalat" w:hAnsi="GHEA Grapalat" w:cs="Sylfaen"/>
                <w:color w:val="000000"/>
                <w:lang w:val="hy-AM"/>
              </w:rPr>
              <w:t xml:space="preserve">նիշներն առավել մանրամասն սահմանված են </w:t>
            </w:r>
            <w:r>
              <w:rPr>
                <w:rFonts w:ascii="GHEA Grapalat" w:hAnsi="GHEA Grapalat" w:cs="Sylfaen"/>
                <w:color w:val="000000"/>
                <w:lang w:val="hy-AM"/>
              </w:rPr>
              <w:lastRenderedPageBreak/>
              <w:t xml:space="preserve">Համաձայնագրի Տեխնիկական և վարչական դրույթներ բաժնի «Միջամտության տրամաբանության աղյուսակում» </w:t>
            </w:r>
            <w:r w:rsidRPr="0074299A">
              <w:rPr>
                <w:rFonts w:ascii="GHEA Grapalat" w:hAnsi="GHEA Grapalat" w:cs="Sylfaen"/>
                <w:color w:val="000000"/>
                <w:lang w:val="hy-AM"/>
              </w:rPr>
              <w:t>(TAPs, Intervention logic)</w:t>
            </w:r>
            <w:r>
              <w:rPr>
                <w:rFonts w:ascii="GHEA Grapalat" w:hAnsi="GHEA Grapalat" w:cs="Sylfaen"/>
                <w:color w:val="000000"/>
                <w:lang w:val="hy-AM"/>
              </w:rPr>
              <w:t xml:space="preserve">, էջ՝ </w:t>
            </w:r>
            <w:r w:rsidRPr="0074299A">
              <w:rPr>
                <w:rFonts w:ascii="GHEA Grapalat" w:hAnsi="GHEA Grapalat" w:cs="Sylfaen"/>
                <w:color w:val="000000"/>
                <w:lang w:val="hy-AM"/>
              </w:rPr>
              <w:t>25</w:t>
            </w:r>
            <w:r>
              <w:rPr>
                <w:rFonts w:ascii="GHEA Grapalat" w:hAnsi="GHEA Grapalat" w:cs="Sylfaen"/>
                <w:color w:val="000000"/>
                <w:lang w:val="hy-AM"/>
              </w:rPr>
              <w:t xml:space="preserve">։ Մասնավորապես աղյուսակի </w:t>
            </w:r>
            <w:r w:rsidRPr="0074299A">
              <w:rPr>
                <w:rFonts w:ascii="GHEA Grapalat" w:hAnsi="GHEA Grapalat" w:cs="Sylfaen"/>
                <w:color w:val="000000"/>
                <w:lang w:val="hy-AM"/>
              </w:rPr>
              <w:t>1.1.</w:t>
            </w:r>
            <w:r>
              <w:rPr>
                <w:rFonts w:ascii="GHEA Grapalat" w:hAnsi="GHEA Grapalat" w:cs="Sylfaen"/>
                <w:color w:val="000000"/>
                <w:lang w:val="hy-AM"/>
              </w:rPr>
              <w:t xml:space="preserve"> ցուցանիշի ներքո </w:t>
            </w:r>
            <w:r w:rsidRPr="0074299A">
              <w:rPr>
                <w:rFonts w:ascii="GHEA Grapalat" w:hAnsi="GHEA Grapalat" w:cs="Sylfaen"/>
                <w:color w:val="000000"/>
                <w:lang w:val="hy-AM"/>
              </w:rPr>
              <w:t>(</w:t>
            </w:r>
            <w:r>
              <w:rPr>
                <w:rFonts w:ascii="GHEA Grapalat" w:hAnsi="GHEA Grapalat" w:cs="Sylfaen"/>
                <w:color w:val="000000"/>
                <w:lang w:val="hy-AM"/>
              </w:rPr>
              <w:t xml:space="preserve">էջ՝ </w:t>
            </w:r>
            <w:r w:rsidRPr="0074299A">
              <w:rPr>
                <w:rFonts w:ascii="GHEA Grapalat" w:hAnsi="GHEA Grapalat" w:cs="Sylfaen"/>
                <w:color w:val="000000"/>
                <w:lang w:val="hy-AM"/>
              </w:rPr>
              <w:t xml:space="preserve">28) </w:t>
            </w:r>
            <w:r>
              <w:rPr>
                <w:rFonts w:ascii="GHEA Grapalat" w:hAnsi="GHEA Grapalat" w:cs="Sylfaen"/>
                <w:color w:val="000000"/>
                <w:lang w:val="hy-AM"/>
              </w:rPr>
              <w:t>գործող դատավորների դեպքում մասնավորեցված է «հայտարարագրերի ստուգում», ինչը նշանակում է, որ գործող դատավորների դեպքում խոսքը ոչ թե բարեվարքության այն ստուգման մասին է, որը նախատեսված է դատավորների թեկնածուների համար, այլև ըստ էության գույքային դրության ստուգման մասին է՝ վերջիններիս հայտարարագրե</w:t>
            </w:r>
            <w:r w:rsidR="00484FC9">
              <w:rPr>
                <w:rFonts w:ascii="GHEA Grapalat" w:hAnsi="GHEA Grapalat" w:cs="Sylfaen"/>
                <w:color w:val="000000"/>
                <w:lang w:val="hy-AM"/>
              </w:rPr>
              <w:t>ր</w:t>
            </w:r>
            <w:r>
              <w:rPr>
                <w:rFonts w:ascii="GHEA Grapalat" w:hAnsi="GHEA Grapalat" w:cs="Sylfaen"/>
                <w:color w:val="000000"/>
                <w:lang w:val="hy-AM"/>
              </w:rPr>
              <w:t xml:space="preserve">ի ուսումնասիրության միջոցով։ </w:t>
            </w:r>
          </w:p>
          <w:p w14:paraId="6BE86A24" w14:textId="77777777" w:rsidR="0074299A" w:rsidRDefault="0074299A" w:rsidP="004C7756">
            <w:pPr>
              <w:spacing w:after="0" w:line="360" w:lineRule="auto"/>
              <w:rPr>
                <w:rFonts w:ascii="GHEA Grapalat" w:hAnsi="GHEA Grapalat" w:cs="Sylfaen"/>
                <w:color w:val="000000"/>
                <w:lang w:val="hy-AM"/>
              </w:rPr>
            </w:pPr>
          </w:p>
          <w:p w14:paraId="4242A0ED" w14:textId="26FF400A" w:rsidR="00FE5474" w:rsidRPr="0043465A" w:rsidRDefault="0074299A" w:rsidP="0074299A">
            <w:pPr>
              <w:spacing w:after="0" w:line="240" w:lineRule="auto"/>
              <w:rPr>
                <w:rFonts w:ascii="Tahoma" w:hAnsi="Tahoma" w:cs="Tahoma"/>
                <w:lang w:val="hy-AM"/>
              </w:rPr>
            </w:pPr>
            <w:r>
              <w:rPr>
                <w:rFonts w:ascii="GHEA Grapalat" w:hAnsi="GHEA Grapalat" w:cs="Sylfaen"/>
                <w:color w:val="000000"/>
                <w:lang w:val="hy-AM"/>
              </w:rPr>
              <w:t>Այս</w:t>
            </w:r>
            <w:r w:rsidR="0043465A" w:rsidRPr="004C7756">
              <w:rPr>
                <w:rFonts w:ascii="GHEA Grapalat" w:hAnsi="GHEA Grapalat" w:cs="Sylfaen"/>
                <w:color w:val="000000"/>
                <w:lang w:val="hy-AM"/>
              </w:rPr>
              <w:t xml:space="preserve"> պարզաբանումները ֆիքսված են ֆինանսավորման համաձայնագրի հիմք հանդիսացող Գործողությունների </w:t>
            </w:r>
            <w:r w:rsidR="00BD564C" w:rsidRPr="004C7756">
              <w:rPr>
                <w:rFonts w:ascii="GHEA Grapalat" w:hAnsi="GHEA Grapalat" w:cs="Sylfaen"/>
                <w:color w:val="000000"/>
                <w:lang w:val="hy-AM"/>
              </w:rPr>
              <w:t>փաստաթղթում</w:t>
            </w:r>
            <w:r>
              <w:rPr>
                <w:rFonts w:ascii="GHEA Grapalat" w:hAnsi="GHEA Grapalat" w:cs="Sylfaen"/>
                <w:color w:val="000000"/>
                <w:lang w:val="hy-AM"/>
              </w:rPr>
              <w:t xml:space="preserve"> ևս, որը ներկայացվել է նաև ԿԿՀ-ին</w:t>
            </w:r>
            <w:r w:rsidR="00BD564C" w:rsidRPr="004C7756">
              <w:rPr>
                <w:rFonts w:ascii="GHEA Grapalat" w:hAnsi="GHEA Grapalat" w:cs="Sylfaen"/>
                <w:color w:val="000000"/>
                <w:lang w:val="hy-AM"/>
              </w:rPr>
              <w:t xml:space="preserve">: </w:t>
            </w:r>
            <w:r>
              <w:rPr>
                <w:rFonts w:ascii="GHEA Grapalat" w:hAnsi="GHEA Grapalat" w:cs="Sylfaen"/>
                <w:color w:val="000000"/>
                <w:lang w:val="hy-AM"/>
              </w:rPr>
              <w:t xml:space="preserve"> Միջոցառումների կատարման գնահատման հիմքում դրվում է հենց Համաձայնագրի Տեխնիկական և վարչական դրույթներ բաժնի </w:t>
            </w:r>
            <w:r>
              <w:rPr>
                <w:rFonts w:ascii="GHEA Grapalat" w:hAnsi="GHEA Grapalat" w:cs="Sylfaen"/>
                <w:color w:val="000000"/>
                <w:lang w:val="hy-AM"/>
              </w:rPr>
              <w:lastRenderedPageBreak/>
              <w:t>«Միջամտության տրամաբանության</w:t>
            </w:r>
            <w:bookmarkStart w:id="0" w:name="_GoBack"/>
            <w:bookmarkEnd w:id="0"/>
            <w:r>
              <w:rPr>
                <w:rFonts w:ascii="GHEA Grapalat" w:hAnsi="GHEA Grapalat" w:cs="Sylfaen"/>
                <w:color w:val="000000"/>
                <w:lang w:val="hy-AM"/>
              </w:rPr>
              <w:t xml:space="preserve"> աղյուսակի» բովանդակությունը։</w:t>
            </w:r>
            <w:r w:rsidR="004C7756">
              <w:rPr>
                <w:rFonts w:ascii="Tahoma" w:hAnsi="Tahoma" w:cs="Tahoma"/>
                <w:lang w:val="hy-AM"/>
              </w:rPr>
              <w:t xml:space="preserve"> </w:t>
            </w:r>
          </w:p>
        </w:tc>
      </w:tr>
    </w:tbl>
    <w:p w14:paraId="3DF50966" w14:textId="77777777" w:rsidR="000A67F9" w:rsidRPr="00C05A98" w:rsidRDefault="000A67F9" w:rsidP="00D93882">
      <w:pPr>
        <w:widowControl w:val="0"/>
        <w:tabs>
          <w:tab w:val="left" w:pos="4536"/>
        </w:tabs>
        <w:spacing w:after="0" w:line="360" w:lineRule="auto"/>
        <w:jc w:val="center"/>
        <w:textAlignment w:val="baseline"/>
        <w:rPr>
          <w:rFonts w:ascii="GHEA Grapalat" w:hAnsi="GHEA Grapalat" w:cs="Sylfaen"/>
          <w:b/>
          <w:color w:val="000000"/>
          <w:lang w:val="hy-AM"/>
        </w:rPr>
      </w:pPr>
    </w:p>
    <w:sectPr w:rsidR="000A67F9" w:rsidRPr="00C05A98" w:rsidSect="003413B8">
      <w:pgSz w:w="15840" w:h="12240" w:orient="landscape"/>
      <w:pgMar w:top="562" w:right="562"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1BE"/>
    <w:multiLevelType w:val="hybridMultilevel"/>
    <w:tmpl w:val="22A6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F6B36"/>
    <w:multiLevelType w:val="hybridMultilevel"/>
    <w:tmpl w:val="8DE6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86F8B"/>
    <w:multiLevelType w:val="hybridMultilevel"/>
    <w:tmpl w:val="F0CC7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E3E1E"/>
    <w:multiLevelType w:val="hybridMultilevel"/>
    <w:tmpl w:val="07C8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46B00"/>
    <w:multiLevelType w:val="hybridMultilevel"/>
    <w:tmpl w:val="5D2A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563FC9"/>
    <w:multiLevelType w:val="hybridMultilevel"/>
    <w:tmpl w:val="89561D2C"/>
    <w:lvl w:ilvl="0" w:tplc="2BEE9C7A">
      <w:start w:val="1"/>
      <w:numFmt w:val="decimal"/>
      <w:lvlText w:val="%1."/>
      <w:lvlJc w:val="left"/>
      <w:pPr>
        <w:ind w:left="961" w:hanging="360"/>
      </w:pPr>
      <w:rPr>
        <w:rFonts w:cs="Times New Roman" w:hint="default"/>
        <w:color w:val="auto"/>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6" w15:restartNumberingAfterBreak="0">
    <w:nsid w:val="4FDD0C30"/>
    <w:multiLevelType w:val="hybridMultilevel"/>
    <w:tmpl w:val="4984C6E0"/>
    <w:lvl w:ilvl="0" w:tplc="12941D8E">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BF"/>
    <w:rsid w:val="00011C18"/>
    <w:rsid w:val="00026581"/>
    <w:rsid w:val="00047B85"/>
    <w:rsid w:val="00052174"/>
    <w:rsid w:val="0005636E"/>
    <w:rsid w:val="0006124B"/>
    <w:rsid w:val="00065480"/>
    <w:rsid w:val="000A0DD6"/>
    <w:rsid w:val="000A24F1"/>
    <w:rsid w:val="000A67F9"/>
    <w:rsid w:val="000A71EA"/>
    <w:rsid w:val="000F0A1B"/>
    <w:rsid w:val="00107F22"/>
    <w:rsid w:val="00136A6A"/>
    <w:rsid w:val="001543CC"/>
    <w:rsid w:val="00163ACC"/>
    <w:rsid w:val="00184041"/>
    <w:rsid w:val="00191208"/>
    <w:rsid w:val="001C3FF7"/>
    <w:rsid w:val="001D061F"/>
    <w:rsid w:val="001D777E"/>
    <w:rsid w:val="002A7F55"/>
    <w:rsid w:val="002C5378"/>
    <w:rsid w:val="003B2C61"/>
    <w:rsid w:val="003C4278"/>
    <w:rsid w:val="003E6CF4"/>
    <w:rsid w:val="00410FE7"/>
    <w:rsid w:val="004247F2"/>
    <w:rsid w:val="0043465A"/>
    <w:rsid w:val="00437DE1"/>
    <w:rsid w:val="00484FC9"/>
    <w:rsid w:val="004855A2"/>
    <w:rsid w:val="00486F98"/>
    <w:rsid w:val="004A1E3B"/>
    <w:rsid w:val="004A6FC1"/>
    <w:rsid w:val="004B003B"/>
    <w:rsid w:val="004C1117"/>
    <w:rsid w:val="004C7756"/>
    <w:rsid w:val="004D55AF"/>
    <w:rsid w:val="00551AAB"/>
    <w:rsid w:val="00563F8E"/>
    <w:rsid w:val="005661BD"/>
    <w:rsid w:val="00577B4F"/>
    <w:rsid w:val="00594ACB"/>
    <w:rsid w:val="005A5FFE"/>
    <w:rsid w:val="005C0F9C"/>
    <w:rsid w:val="0062718F"/>
    <w:rsid w:val="0064697F"/>
    <w:rsid w:val="006645BF"/>
    <w:rsid w:val="00680079"/>
    <w:rsid w:val="00696863"/>
    <w:rsid w:val="006B36A8"/>
    <w:rsid w:val="006D005E"/>
    <w:rsid w:val="007070FA"/>
    <w:rsid w:val="00724E78"/>
    <w:rsid w:val="0074299A"/>
    <w:rsid w:val="00743D15"/>
    <w:rsid w:val="0078114A"/>
    <w:rsid w:val="007920BB"/>
    <w:rsid w:val="007C53DB"/>
    <w:rsid w:val="007D37E9"/>
    <w:rsid w:val="007F0E9A"/>
    <w:rsid w:val="008269AC"/>
    <w:rsid w:val="00835A23"/>
    <w:rsid w:val="0085664C"/>
    <w:rsid w:val="00870106"/>
    <w:rsid w:val="008734E6"/>
    <w:rsid w:val="008A4E0E"/>
    <w:rsid w:val="008C3C84"/>
    <w:rsid w:val="008D293E"/>
    <w:rsid w:val="008D57CD"/>
    <w:rsid w:val="008F02F2"/>
    <w:rsid w:val="00916AB3"/>
    <w:rsid w:val="0092352E"/>
    <w:rsid w:val="0093441A"/>
    <w:rsid w:val="00947FD8"/>
    <w:rsid w:val="00963378"/>
    <w:rsid w:val="009771FB"/>
    <w:rsid w:val="009A4399"/>
    <w:rsid w:val="009B1332"/>
    <w:rsid w:val="009C5E88"/>
    <w:rsid w:val="009E2AEA"/>
    <w:rsid w:val="009E44EB"/>
    <w:rsid w:val="009E609A"/>
    <w:rsid w:val="009F743C"/>
    <w:rsid w:val="00A50479"/>
    <w:rsid w:val="00A52A8F"/>
    <w:rsid w:val="00A6054E"/>
    <w:rsid w:val="00A73A7E"/>
    <w:rsid w:val="00A823A7"/>
    <w:rsid w:val="00A91A60"/>
    <w:rsid w:val="00A942DD"/>
    <w:rsid w:val="00AC6AFD"/>
    <w:rsid w:val="00AF67B5"/>
    <w:rsid w:val="00B175FD"/>
    <w:rsid w:val="00B27212"/>
    <w:rsid w:val="00B27696"/>
    <w:rsid w:val="00B75CCE"/>
    <w:rsid w:val="00BA4ADC"/>
    <w:rsid w:val="00BB198F"/>
    <w:rsid w:val="00BB22C5"/>
    <w:rsid w:val="00BC3D11"/>
    <w:rsid w:val="00BD564C"/>
    <w:rsid w:val="00C05A98"/>
    <w:rsid w:val="00C13BC1"/>
    <w:rsid w:val="00C35693"/>
    <w:rsid w:val="00C35AAD"/>
    <w:rsid w:val="00C35DD4"/>
    <w:rsid w:val="00C44725"/>
    <w:rsid w:val="00C44B2E"/>
    <w:rsid w:val="00C451F2"/>
    <w:rsid w:val="00C5729B"/>
    <w:rsid w:val="00C664AB"/>
    <w:rsid w:val="00C77FE4"/>
    <w:rsid w:val="00C95E2E"/>
    <w:rsid w:val="00CC096D"/>
    <w:rsid w:val="00CD4D77"/>
    <w:rsid w:val="00CD508C"/>
    <w:rsid w:val="00CD7C57"/>
    <w:rsid w:val="00D40173"/>
    <w:rsid w:val="00D41622"/>
    <w:rsid w:val="00D5254E"/>
    <w:rsid w:val="00D851CF"/>
    <w:rsid w:val="00D86719"/>
    <w:rsid w:val="00D93882"/>
    <w:rsid w:val="00DA144C"/>
    <w:rsid w:val="00DA3BD1"/>
    <w:rsid w:val="00DB2734"/>
    <w:rsid w:val="00DC5687"/>
    <w:rsid w:val="00E078DF"/>
    <w:rsid w:val="00E20843"/>
    <w:rsid w:val="00E308E9"/>
    <w:rsid w:val="00EB1D85"/>
    <w:rsid w:val="00ED3CDE"/>
    <w:rsid w:val="00F15DE7"/>
    <w:rsid w:val="00F443EF"/>
    <w:rsid w:val="00FA3BDD"/>
    <w:rsid w:val="00FD6374"/>
    <w:rsid w:val="00FE0497"/>
    <w:rsid w:val="00FE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DE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37DE1"/>
    <w:rPr>
      <w:rFonts w:ascii="Times New Roman" w:eastAsia="Times New Roman" w:hAnsi="Times New Roman" w:cs="Times New Roman"/>
      <w:sz w:val="24"/>
      <w:szCs w:val="24"/>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
    <w:basedOn w:val="Normal"/>
    <w:link w:val="NormalWebChar"/>
    <w:qFormat/>
    <w:rsid w:val="007D37E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D37E9"/>
    <w:pPr>
      <w:ind w:left="720"/>
      <w:contextualSpacing/>
    </w:pPr>
    <w:rPr>
      <w:rFonts w:eastAsia="Times New Roman"/>
      <w:lang w:val="ru-RU" w:eastAsia="ru-RU"/>
    </w:rPr>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ebb Char"/>
    <w:link w:val="NormalWeb"/>
    <w:locked/>
    <w:rsid w:val="007D37E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5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0000">
      <w:bodyDiv w:val="1"/>
      <w:marLeft w:val="0"/>
      <w:marRight w:val="0"/>
      <w:marTop w:val="0"/>
      <w:marBottom w:val="0"/>
      <w:divBdr>
        <w:top w:val="none" w:sz="0" w:space="0" w:color="auto"/>
        <w:left w:val="none" w:sz="0" w:space="0" w:color="auto"/>
        <w:bottom w:val="none" w:sz="0" w:space="0" w:color="auto"/>
        <w:right w:val="none" w:sz="0" w:space="0" w:color="auto"/>
      </w:divBdr>
    </w:div>
    <w:div w:id="1384791009">
      <w:bodyDiv w:val="1"/>
      <w:marLeft w:val="0"/>
      <w:marRight w:val="0"/>
      <w:marTop w:val="0"/>
      <w:marBottom w:val="0"/>
      <w:divBdr>
        <w:top w:val="none" w:sz="0" w:space="0" w:color="auto"/>
        <w:left w:val="none" w:sz="0" w:space="0" w:color="auto"/>
        <w:bottom w:val="none" w:sz="0" w:space="0" w:color="auto"/>
        <w:right w:val="none" w:sz="0" w:space="0" w:color="auto"/>
      </w:divBdr>
    </w:div>
    <w:div w:id="20656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justice.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Mirzoyan1</dc:creator>
  <cp:lastModifiedBy>Qristine Grigoryan</cp:lastModifiedBy>
  <cp:revision>2</cp:revision>
  <dcterms:created xsi:type="dcterms:W3CDTF">2020-09-24T05:32:00Z</dcterms:created>
  <dcterms:modified xsi:type="dcterms:W3CDTF">2020-09-24T05:32:00Z</dcterms:modified>
</cp:coreProperties>
</file>