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49217" w14:textId="77777777" w:rsidR="00053624" w:rsidRPr="003B7B1F" w:rsidRDefault="00053624"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ԱՄՓՈՓԱԹԵՐԹ</w:t>
      </w:r>
    </w:p>
    <w:p w14:paraId="068DF876" w14:textId="5216CFC8" w:rsidR="00053624" w:rsidRPr="003B7B1F" w:rsidRDefault="001E303E" w:rsidP="00EA3DA8">
      <w:pPr>
        <w:spacing w:after="0"/>
        <w:jc w:val="center"/>
        <w:rPr>
          <w:rFonts w:ascii="GHEA Grapalat" w:hAnsi="GHEA Grapalat"/>
          <w:b/>
          <w:sz w:val="24"/>
          <w:szCs w:val="24"/>
          <w:lang w:val="hy-AM"/>
        </w:rPr>
      </w:pPr>
      <w:r w:rsidRPr="0030753D">
        <w:rPr>
          <w:rFonts w:ascii="GHEA Grapalat" w:eastAsia="Times New Roman" w:hAnsi="GHEA Grapalat" w:cs="Times New Roman"/>
          <w:b/>
          <w:bCs/>
          <w:sz w:val="24"/>
          <w:szCs w:val="24"/>
          <w:bdr w:val="none" w:sz="0" w:space="0" w:color="auto" w:frame="1"/>
          <w:lang w:val="hy-AM"/>
        </w:rPr>
        <w:t>«ՏՆՏԵՍԱԿԱՆ ՄՐՑԱԿՑՈՒԹՅԱՆ ՊԱՇՏՊԱՆՈՒԹՅԱՆ ՄԱՍԻՆ»</w:t>
      </w:r>
      <w:r w:rsidRPr="0030753D">
        <w:rPr>
          <w:rFonts w:ascii="GHEA Grapalat" w:eastAsia="Times New Roman" w:hAnsi="GHEA Grapalat" w:cs="Calibri"/>
          <w:b/>
          <w:bCs/>
          <w:sz w:val="24"/>
          <w:szCs w:val="24"/>
          <w:bdr w:val="none" w:sz="0" w:space="0" w:color="auto" w:frame="1"/>
          <w:lang w:val="hy-AM"/>
        </w:rPr>
        <w:t xml:space="preserve"> </w:t>
      </w:r>
      <w:r w:rsidRPr="0030753D">
        <w:rPr>
          <w:rFonts w:ascii="GHEA Grapalat" w:eastAsia="Times New Roman" w:hAnsi="GHEA Grapalat" w:cs="GHEA Grapalat"/>
          <w:b/>
          <w:bCs/>
          <w:sz w:val="24"/>
          <w:szCs w:val="24"/>
          <w:bdr w:val="none" w:sz="0" w:space="0" w:color="auto" w:frame="1"/>
          <w:lang w:val="hy-AM"/>
        </w:rPr>
        <w:t>ՕՐԵՆՔՈՒՄ</w:t>
      </w:r>
      <w:r w:rsidRPr="0030753D">
        <w:rPr>
          <w:rFonts w:ascii="GHEA Grapalat" w:eastAsia="Times New Roman" w:hAnsi="GHEA Grapalat" w:cs="Calibri"/>
          <w:sz w:val="24"/>
          <w:szCs w:val="24"/>
          <w:lang w:val="hy-AM"/>
        </w:rPr>
        <w:t xml:space="preserve"> </w:t>
      </w:r>
      <w:r w:rsidRPr="0030753D">
        <w:rPr>
          <w:rFonts w:ascii="GHEA Grapalat" w:eastAsia="Times New Roman" w:hAnsi="GHEA Grapalat" w:cs="Times New Roman"/>
          <w:b/>
          <w:bCs/>
          <w:sz w:val="24"/>
          <w:szCs w:val="24"/>
          <w:bdr w:val="none" w:sz="0" w:space="0" w:color="auto" w:frame="1"/>
          <w:lang w:val="hy-AM"/>
        </w:rPr>
        <w:t xml:space="preserve">ՓՈՓՈԽՈՒԹՅՈՒՆ </w:t>
      </w:r>
      <w:r w:rsidRPr="0030753D">
        <w:rPr>
          <w:rFonts w:ascii="GHEA Grapalat" w:eastAsia="Times New Roman" w:hAnsi="GHEA Grapalat" w:cs="GHEA Grapalat"/>
          <w:b/>
          <w:bCs/>
          <w:sz w:val="24"/>
          <w:szCs w:val="24"/>
          <w:bdr w:val="none" w:sz="0" w:space="0" w:color="auto" w:frame="1"/>
          <w:lang w:val="hy-AM"/>
        </w:rPr>
        <w:t>ԿԱՏԱՐԵԼՈՒ</w:t>
      </w:r>
      <w:r w:rsidRPr="0030753D">
        <w:rPr>
          <w:rFonts w:ascii="GHEA Grapalat" w:eastAsia="Times New Roman" w:hAnsi="GHEA Grapalat" w:cs="Times New Roman"/>
          <w:b/>
          <w:bCs/>
          <w:sz w:val="24"/>
          <w:szCs w:val="24"/>
          <w:bdr w:val="none" w:sz="0" w:space="0" w:color="auto" w:frame="1"/>
          <w:lang w:val="hy-AM"/>
        </w:rPr>
        <w:t xml:space="preserve"> </w:t>
      </w:r>
      <w:r w:rsidRPr="0030753D">
        <w:rPr>
          <w:rFonts w:ascii="GHEA Grapalat" w:eastAsia="Times New Roman" w:hAnsi="GHEA Grapalat" w:cs="GHEA Grapalat"/>
          <w:b/>
          <w:bCs/>
          <w:sz w:val="24"/>
          <w:szCs w:val="24"/>
          <w:bdr w:val="none" w:sz="0" w:space="0" w:color="auto" w:frame="1"/>
          <w:lang w:val="hy-AM"/>
        </w:rPr>
        <w:t xml:space="preserve">ՄԱՍԻՆ», «ՀԱՅԱՍՏԱՆԻ ՀԱՆՐԱՊԵՏՈՒԹՅՈՒՆՈՒՄ ՍՏՈՒԳՈՒՄՆԵՐԻ ԿԱԶՄԱԿԵՐՊՄԱՆ ԵՎ ԱՆՑԿԱՑՄԱՆ ՄԱՍԻՆ»  ՕՐԵՆՔՈՒՄ ՓՈՓՈԽՈՒԹՅՈՒՆՆԵՐ ԵՎ ԼՐԱՑՈՒՄՆԵՐ ԿԱՏԱՐԵԼՈՒ ՄԱՍԻՆ», «ՎԱՐՉԱԿԱՆ ԻՐԱՎԱԽԱԽՏՈՒՄՆԵՐԻ ՎԵՐԱԲԵՐՅԱԼ ՀԱՅԱՍՏԱՆԻ ՀԱՆՐԱՊԵՏՈՒԹՅԱՆ ՕՐԵՆՍԳՐՔՈՒՄ ՓՈՓՈԽՈՒԹՅՈՒՆՆԵՐ ԵՎ ԼՐԱՑՈՒՄՆԵՐ ԿԱՏԱՐԵԼՈՒ ՄԱՍԻՆ», «ՀԱՅԱՍՏԱՆԻ ՀԱՆՐԱՊԵՏՈՒԹՅԱՆ ՔՐԵԱԿԱՆ ՕՐԵՆՍԳՐՔՈՒՄ ՓՈՓՈԽՈՒԹՅՈՒՆ ԿԱՏԱՐԵԼՈՒ ՄԱՍԻՆ», «ՕՊԵՐԱՏԻՎ-ՀԵՏԱԽՈՒԶԱԿԱՆ ԳՈՐԾՈՒՆԵՈՒԹՅԱՆ ՄԱՍԻՆ» ՕՐԵՆՔՈՒՄ ԼՐԱՑՈՒՄՆԵՐ ԵՎ ՓՈՓՈԽՈՒԹՅՈՒՆ ԿԱՏԱՐԵԼՈՒ ՄԱՍԻՆ», «ԿԵՆՏՐՈՆԱԿԱՆ ԲԱՆԿԻ ՄԱՍԻՆ» ՕՐԵՆՔՈՒՄ ԼՐԱՑՈՒՄ ԵՎ ՓՈՓՈԽՈՒԹՅՈՒՆՆԵՐ ԿԱՏԱՐԵԼՈՒ ՄԱՍԻՆ», </w:t>
      </w:r>
      <w:r w:rsidRPr="0030753D">
        <w:rPr>
          <w:rFonts w:ascii="GHEA Grapalat" w:eastAsia="Times New Roman" w:hAnsi="GHEA Grapalat" w:cs="Times New Roman"/>
          <w:b/>
          <w:bCs/>
          <w:color w:val="000000"/>
          <w:sz w:val="24"/>
          <w:szCs w:val="24"/>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«ԴԱՏԱԿԱՆ ԱԿՏԵՐԻ ՀԱՐԿԱԴԻՐ ԿԱՏԱՐՄԱՆ ՄԱՍԻՆ» ՕՐԵՆՔՈՒՄ ԼՐԱՑՈՒՄՆԵՐ ԿԱՏԱՐԵԼՈՒ ՄԱՍԻՆ»,</w:t>
      </w:r>
      <w:r w:rsidRPr="0030753D">
        <w:rPr>
          <w:rFonts w:ascii="GHEA Grapalat" w:eastAsia="Times New Roman" w:hAnsi="GHEA Grapalat" w:cs="GHEA Grapalat"/>
          <w:b/>
          <w:bCs/>
          <w:sz w:val="24"/>
          <w:szCs w:val="24"/>
          <w:bdr w:val="none" w:sz="0" w:space="0" w:color="auto" w:frame="1"/>
          <w:lang w:val="hy-AM"/>
        </w:rPr>
        <w:t xml:space="preserve"> « ՀԱՅԱՍՏԱՆԻ ՀԱՆՐԱՊԵՏՈՒԹՅԱՆ ՔԱՂԱՔԱՑԻԱԿԱՆ ՕՐԵՆՍԳՐՔՈՒՄ ՓՈՓՈԽՈՒԹՅՈՒՆՆԵՐ ԿԱՏԱՐԵԼՈՒ ՄԱՍԻՆ», «ԷԼԵԿՏՐՈՆԱՅԻՆ ՀԱՂՈՐԴԱԿՑՈՒԹՅԱՆ ՄԱՍԻՆ» ՕՐԵՆՔՈՒՄ ՓՈՓՈԽՈՒԹՅՈՒՆՆԵՐ ԿԱՏԱՐԵԼՈՒ ՄԱՍԻՆ», «ՍՆԱՆԿՈՒԹՅԱՆ ՄԱՍԻՆ» ՕՐԵՆՔՈՒՄ ՓՈՓՈԽՈՒԹՅՈՒՆՆԵՐ ԿԱՏԱՐԵԼՈՒ ՄԱՍԻՆ», «ԱՐԺԵԹՂԹԵՐԻ ՇՈՒԿԱՅԻ ՄԱՍԻՆ» ՕՐԵՆՔՈՒՄ ՓՈՓՈԽՈՒԹՅՈՒՆ ԿԱՏԱՐԵԼՈՒ ՄԱՍԻՆ», «ՀԱՏՈՒԿ ՔՆՆՉԱԿԱՆ ԾԱՌԱՅՈՒԹՅԱՆ ՄԱՍԻՆ» ՕՐԵՆՔՈՒՄ ՓՈՓՈԽՈՒԹՅՈՒՆ ԿԱՏԱՐԵԼՈՒ ՄԱՍԻՆ», «ՀԱՅԱՍՏԱՆԻ ՀԱՆՐԱՊԵՏՈՒԹՅԱՆ ՔՐԵԱԿԱՆ ԴԱՏԱՎԱՐՈՒԹՅԱՆ ՕՐԵՆՍԳՐՔՈՒՄ ՓՈՓՈԽՈՒԹՅՈՒՆ ԿԱՏԱՐԵԼՈՒ ՄԱՍԻՆ», «ՀԱՅԱՍՏԱՆԻ ՀԱՆՐԱՊԵՏՈՒԹՅԱՆ ՔԱՂԱՔԱՑԻԱԿԱՆ ԴԱՏԱՎԱՐՈՒԹՅԱՆ ՕՐԵՆՍԳՐՔՈՒՄ ՓՈՓՈԽՈՒԹՅՈՒՆ ԿԱՏԱՐԵԼՈՒ ՄԱՍԻՆ», «ՀԱՅԱՍՏԱՆԻ ՀԱՆՐԱՊԵՏՈՒԹՅԱՆ ՎԱՐՉԱԿԱՆ ԴԱՏԱՎԱՐՈՒԹՅԱՆ ՕՐԵՆՍԳՐՔՈՒՄ ՓՈՓՈԽՈՒԹՅՈՒՆ ԿԱՏԱՐԵԼՈՒ ՄԱՍԻՆ» ՕՐԵՆՔՆԵՐԻ ԵՎ «ԱԶԳԱՅԻՆ ԺՈՂՈՎԻ ԿԱՆՈՆԱԿԱՐԳ» ՍԱՀՄԱՆԱԴՐԱԿԱՆ ՕՐԵՆՔՈՒՄ ՓՈՓՈԽՈՒԹՅՈՒՆ ԵՎ ԼՐԱՑՈՒՄՆԵՐ ԿԱՏԱՐԵԼՈՒ ՄԱՍԻՆ» ՍԱՀՄԱՆԱԴՐԱԿԱՆ ՕՐԵՆՔԻ</w:t>
      </w:r>
      <w:r w:rsidR="009A3DD6" w:rsidRPr="00EA3DA8">
        <w:rPr>
          <w:rFonts w:ascii="GHEA Grapalat" w:eastAsia="Times New Roman" w:hAnsi="GHEA Grapalat" w:cs="GHEA Grapalat"/>
          <w:b/>
          <w:bCs/>
          <w:sz w:val="24"/>
          <w:szCs w:val="24"/>
          <w:bdr w:val="none" w:sz="0" w:space="0" w:color="auto" w:frame="1"/>
          <w:lang w:val="hy-AM"/>
        </w:rPr>
        <w:t xml:space="preserve"> </w:t>
      </w:r>
      <w:bookmarkStart w:id="0" w:name="_GoBack"/>
      <w:bookmarkEnd w:id="0"/>
      <w:r w:rsidR="00053624" w:rsidRPr="003B7B1F">
        <w:rPr>
          <w:rFonts w:ascii="GHEA Grapalat" w:hAnsi="GHEA Grapalat"/>
          <w:b/>
          <w:sz w:val="24"/>
          <w:szCs w:val="24"/>
          <w:lang w:val="hy-AM"/>
        </w:rPr>
        <w:t xml:space="preserve">ՆԱԽԱԳԾԵՐԻ ՎԵՐԱԲԵՐՅԱԼ </w:t>
      </w:r>
      <w:r w:rsidR="000F2FA5">
        <w:rPr>
          <w:rFonts w:ascii="GHEA Grapalat" w:hAnsi="GHEA Grapalat"/>
          <w:b/>
          <w:sz w:val="24"/>
          <w:szCs w:val="24"/>
          <w:lang w:val="hy-AM"/>
        </w:rPr>
        <w:t xml:space="preserve">ԻՐԱՎԱԿԱՆ ԱԿՏԵՐԻ ՆԱԽԱԳԾԵՐԻ ՀՐԱՊԱՐԱԿՄԱՆ ՄԻԱՍՆԱԿԱՆ ԿԱՅՔՈՒՄ </w:t>
      </w:r>
      <w:r w:rsidR="003C5664" w:rsidRPr="003B7B1F">
        <w:rPr>
          <w:rFonts w:ascii="GHEA Grapalat" w:hAnsi="GHEA Grapalat"/>
          <w:b/>
          <w:sz w:val="24"/>
          <w:szCs w:val="24"/>
          <w:lang w:val="hy-AM"/>
        </w:rPr>
        <w:t>ՍՏԱՑՎԱԾ ԴԻՏՈՂՈՒԹՅՈՒՆՆԵՐԻ ԵՎ ԱՌԱՋԱՐԿՈՒԹՅՈՒՆՆԵՐԻ</w:t>
      </w:r>
    </w:p>
    <w:p w14:paraId="0F817939" w14:textId="77777777" w:rsidR="00053624" w:rsidRPr="003B7B1F" w:rsidRDefault="00053624" w:rsidP="003B7B1F">
      <w:pPr>
        <w:spacing w:after="0"/>
        <w:jc w:val="center"/>
        <w:rPr>
          <w:rFonts w:ascii="GHEA Grapalat" w:hAnsi="GHEA Grapalat"/>
          <w:b/>
          <w:sz w:val="24"/>
          <w:szCs w:val="24"/>
          <w:lang w:val="hy-AM"/>
        </w:rPr>
      </w:pPr>
    </w:p>
    <w:tbl>
      <w:tblPr>
        <w:tblW w:w="14806" w:type="dxa"/>
        <w:tblInd w:w="-551" w:type="dxa"/>
        <w:tblLayout w:type="fixed"/>
        <w:tblCellMar>
          <w:left w:w="0" w:type="dxa"/>
          <w:right w:w="0" w:type="dxa"/>
        </w:tblCellMar>
        <w:tblLook w:val="04A0" w:firstRow="1" w:lastRow="0" w:firstColumn="1" w:lastColumn="0" w:noHBand="0" w:noVBand="1"/>
      </w:tblPr>
      <w:tblGrid>
        <w:gridCol w:w="1002"/>
        <w:gridCol w:w="2401"/>
        <w:gridCol w:w="5160"/>
        <w:gridCol w:w="1927"/>
        <w:gridCol w:w="4316"/>
      </w:tblGrid>
      <w:tr w:rsidR="000F2FA5" w:rsidRPr="00E55AE5" w14:paraId="0FCAD93D" w14:textId="77777777" w:rsidTr="000F2FA5">
        <w:tc>
          <w:tcPr>
            <w:tcW w:w="1002" w:type="dxa"/>
            <w:tcBorders>
              <w:top w:val="nil"/>
              <w:left w:val="nil"/>
              <w:right w:val="nil"/>
            </w:tcBorders>
            <w:shd w:val="clear" w:color="auto" w:fill="D2D4E1"/>
            <w:tcMar>
              <w:top w:w="225" w:type="dxa"/>
              <w:left w:w="300" w:type="dxa"/>
              <w:bottom w:w="225" w:type="dxa"/>
              <w:right w:w="300" w:type="dxa"/>
            </w:tcMar>
            <w:hideMark/>
          </w:tcPr>
          <w:p w14:paraId="3B95421B"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lastRenderedPageBreak/>
              <w:t>h/h</w:t>
            </w:r>
          </w:p>
        </w:tc>
        <w:tc>
          <w:tcPr>
            <w:tcW w:w="2401"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6815DC5A"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Առաջարկության հեղինակը, ստացման ամսաթիվը</w:t>
            </w:r>
          </w:p>
        </w:tc>
        <w:tc>
          <w:tcPr>
            <w:tcW w:w="5160"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29B351AC"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Առաջարկության բովանդակությունը</w:t>
            </w:r>
          </w:p>
        </w:tc>
        <w:tc>
          <w:tcPr>
            <w:tcW w:w="1927"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5F50F951"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Եզրակացություն</w:t>
            </w:r>
          </w:p>
        </w:tc>
        <w:tc>
          <w:tcPr>
            <w:tcW w:w="4316"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40797D5B"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Կատարված փոփոխությունը</w:t>
            </w:r>
          </w:p>
        </w:tc>
      </w:tr>
      <w:tr w:rsidR="000F2FA5" w:rsidRPr="00E55AE5" w14:paraId="0939819B"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3FCB014"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p>
        </w:tc>
        <w:tc>
          <w:tcPr>
            <w:tcW w:w="240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3FFBF4F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w:t>
            </w:r>
          </w:p>
        </w:tc>
        <w:tc>
          <w:tcPr>
            <w:tcW w:w="5160"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3FF076D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p>
        </w:tc>
        <w:tc>
          <w:tcPr>
            <w:tcW w:w="1927"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70B5C1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p>
        </w:tc>
        <w:tc>
          <w:tcPr>
            <w:tcW w:w="4316"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9D987B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w:t>
            </w:r>
          </w:p>
        </w:tc>
      </w:tr>
      <w:tr w:rsidR="000F2FA5" w:rsidRPr="00E55AE5" w14:paraId="6AC46CFB"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E2DDB4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041B63D"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03.06.2020 17:22:16</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3F929C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Հաշվի առնելով, որ առկա տեսքով հետևյալ կարգավորման պարագայում գործածության շրջանակը կարող է անհամաչափ լայնացվել, առաջարկում եմ Նախագծի Հոդված 6-ի երկրորդ մասի 3-րդ կետը հստակցենել հետևյալ կերպ՝ «որոշակի փոխկապակցվածություն ունեցող կամ տարբեր ապրանքային շուկաներում գործող տնտեսվարող սուբյեկտների միջև, որոնք ուղղակի կամ անուղղակի սահմանափակում կամ կարող են սահմանափակել, կանխել կամ արգելել մրցակցությունը (այլ համաձայնություն)</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8C4E5D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4B3A4C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Այլ հակամրցակցային համաձայնութունների թվին ահրաժեշտ է դասել նաև այն համաձայնությունները, որոնք կայացման պահին հանգեցնում են մրցակցության կանխմանը կամ արգելմանը:</w:t>
            </w:r>
          </w:p>
        </w:tc>
      </w:tr>
      <w:tr w:rsidR="000F2FA5" w:rsidRPr="00E55AE5" w14:paraId="48FD8C3D"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C95D67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B5161AE"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03.06.2020 17:22:16</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C1D30D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Հոդված 6-ի երրորդ մասի 12-րդ կետում «թույլտվություն» բառը փոխարինել «հասանելիություն» բառով, քանի որ թույլտվությունը ինքնին կարող է առկա լինել սակայն օգտագործելու և շահագործելու հասանելիությունը չլինի:</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6E89AC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 մասնակի</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4868DD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Հաշվի առնելով այն, որ կարևոր է ինչպես թույլտվության, այնպես էլ հասանելիության դեպքի նախատեսումը՝ Նախագծում ավելացվել է նաև հասանելիության վերաբերյալ կարգավորումը:</w:t>
            </w:r>
          </w:p>
        </w:tc>
      </w:tr>
      <w:tr w:rsidR="000F2FA5" w:rsidRPr="00E55AE5" w14:paraId="2CA79031"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1F9CD0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73BBA0C"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03.06.2020 17:22:16</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95D27C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Օրենքում և նախագծում բազմիցս օգտագործվում է «հանգեցնում կամ կարող է հանգեցնել» արտահայտությունը, ինչը </w:t>
            </w:r>
            <w:r w:rsidRPr="00E55AE5">
              <w:rPr>
                <w:rFonts w:ascii="GHEA Grapalat" w:eastAsia="Times New Roman" w:hAnsi="GHEA Grapalat" w:cs="Times New Roman"/>
                <w:color w:val="273845"/>
                <w:sz w:val="24"/>
                <w:szCs w:val="24"/>
                <w:lang w:eastAsia="en-GB"/>
              </w:rPr>
              <w:lastRenderedPageBreak/>
              <w:t>չլինելով սխալ միևնույն ժամանակ իրավիճակային մոտեցումը ձևավորում է հետևանքի հիման վրա: Արդյունքում կարող ենք ունենալ մի իրավիճակ, երբ մրցակցության սահմանափակում ... դիտարկենք հնարավոր միայն որպես համաձայնության հետևանք այլ ոչ թե առարկա:</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5CC4A8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953BDD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«Հանգեցնում կամ կարող է հանգեցնել» արտահայտության օգտագործումը Նախագծում </w:t>
            </w:r>
            <w:r w:rsidRPr="00E55AE5">
              <w:rPr>
                <w:rFonts w:ascii="GHEA Grapalat" w:eastAsia="Times New Roman" w:hAnsi="GHEA Grapalat" w:cs="Times New Roman"/>
                <w:color w:val="273845"/>
                <w:sz w:val="24"/>
                <w:szCs w:val="24"/>
                <w:lang w:eastAsia="en-GB"/>
              </w:rPr>
              <w:lastRenderedPageBreak/>
              <w:t>ինքնանպատակ չէ: Այն ենթադրում է հետևանքի առաջացում: Դրանով է պայմանավորված այդպիսի եզրույթի կիրառումը այն դեպքերում, երբ հետևանքի առաջացումը կամ դրա հնարավորությունը պարտադիր է համաձայնությունը հակամրցակցային որակելու համար:</w:t>
            </w:r>
          </w:p>
        </w:tc>
      </w:tr>
      <w:tr w:rsidR="000F2FA5" w:rsidRPr="00E55AE5" w14:paraId="486A2177"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3353778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4</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41D33B6"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03.06.2020 17:22:16</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F55936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Հոդված 6-ի չորրորդ մասի 1-ին մասի կիրառելիությունը պոտենցիալ խնդրահարույց կետ կարող է լինել ֆրանչայզինգի պայմանագրերի դեպքում: Մասնավորապես՝ թե՛ միջազգային և թե՛ հայրենական պրակտիկայում ընդունված է որոշակի նվազագույն շեմի սահմանումը, որը ըստ էության կհակասի նշված կետին: Իսկ հակառակ դեպքում ֆրանչայզինգի պայմանագրերը հնարավոր է չկնքվեն: Նախագծում նշված մոդելը կիրառվում է Եվրոպական մի շարք երկրներում սակայն դրա նպատակը միության ներքին շուկայի կայունությունն է: Զուտ ՀՀ-ում նման կարգավորման նպատակահարմարությունը վիճելի է:</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104986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 ի գիտություն</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8588EC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Կատարվել են համապատասխան փոփոխություններ։</w:t>
            </w:r>
          </w:p>
        </w:tc>
      </w:tr>
      <w:tr w:rsidR="000F2FA5" w:rsidRPr="00E55AE5" w14:paraId="6841DA38"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2A929C6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5</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5873B3D"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03.06.2020 17:22:16</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FF87DD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Հոդված 6-ի երրորդ մասում ավելացնել այլ տնտեսվարող սուբյեկտներին շուկայից ելքի խոչընդոտման կամ սահմանափակման մասին կարգավորում: Մրցակցություն կարող է սահմանափակվել </w:t>
            </w:r>
            <w:r w:rsidRPr="00E55AE5">
              <w:rPr>
                <w:rFonts w:ascii="GHEA Grapalat" w:eastAsia="Times New Roman" w:hAnsi="GHEA Grapalat" w:cs="Times New Roman"/>
                <w:color w:val="273845"/>
                <w:sz w:val="24"/>
                <w:szCs w:val="24"/>
                <w:lang w:eastAsia="en-GB"/>
              </w:rPr>
              <w:lastRenderedPageBreak/>
              <w:t>ոչ միայն մուտքի այլև ելքի արգելքով՝ ստեղծելով արհեստական մրցակցության ընկալում: Նույնը վերաբերում է նաև նույն հոդվածի 5-րդ մասին:</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B012D9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73E334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Կատարվել են համապատասխան փոփոխություններ։</w:t>
            </w:r>
          </w:p>
        </w:tc>
      </w:tr>
      <w:tr w:rsidR="000F2FA5" w:rsidRPr="00E55AE5" w14:paraId="5E5244A4"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15D95B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6</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E45ABF4"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04.06.2020 05:16:28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1E2900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Գործող օրենքով սահմանված հակամրցակցային համաձայնությունների թույլատրման առանձնացումը առանձին հոդվածով տեխնիկապես և իմաստային ավելի նպատակահարմար է: Մասնավորապես գործող օրենքի 5.1. հոդվածով նախատեսված կարգավորումը ենթադրում է որոշակի հակամրցակցային համաձայնությունների թույլատրում հիմք ընդունելով որոշ չափանիշներ: Նախագծում տվյալ կարգավորւմը ընդգրկվել է ի սկզբանե հակամրցակցային չհամարվող համաձայնությունների շարքում ինչը իմաստային առումով թերի է քանի որ գործող խմբագրությամբ ոչ թե ենթադրվում է որ համաձայնությունը ի սկզբանե հակամրցակցային չէ այլ լինելով այդպիսին կարող է թույլատրվել հանձնաժողովի հայեցողությամբ եթե առկա են որոշակի պայմաններ: Ուստի առաջարկում եմ առանձնացնել կամ առանձին 9-րդ մասի ներքո կամ մեկ այլ հոդվածի ներքո (խոսքը բացառապես 6-րդ հոդվածի 8-րդ մասի 2-րդ և 3-րդ կետերի մասին է):</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BBB1A1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3E549F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Հակամրցակցային համաձայնությունների թույլատրման դեպքերի նախատեսումը հակասում է Սահմանադրության 59-րդ հոդվածի 3-րդ մասին:</w:t>
            </w:r>
          </w:p>
        </w:tc>
      </w:tr>
      <w:tr w:rsidR="000F2FA5" w:rsidRPr="00E55AE5" w14:paraId="0297FB19"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5203A3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7</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0664CBD"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Արթուր </w:t>
            </w:r>
            <w:r w:rsidRPr="00E55AE5">
              <w:rPr>
                <w:rFonts w:ascii="GHEA Grapalat" w:eastAsia="Times New Roman" w:hAnsi="GHEA Grapalat" w:cs="Times New Roman"/>
                <w:color w:val="273845"/>
                <w:sz w:val="24"/>
                <w:szCs w:val="24"/>
                <w:lang w:eastAsia="en-GB"/>
              </w:rPr>
              <w:lastRenderedPageBreak/>
              <w:t>Բուդուրյան</w:t>
            </w:r>
            <w:r w:rsidRPr="00E55AE5">
              <w:rPr>
                <w:rFonts w:ascii="RobotoSlab-regular" w:eastAsia="Times New Roman" w:hAnsi="RobotoSlab-regular" w:cs="Times New Roman"/>
                <w:color w:val="4B5C6A"/>
                <w:sz w:val="21"/>
                <w:szCs w:val="21"/>
                <w:bdr w:val="none" w:sz="0" w:space="0" w:color="auto" w:frame="1"/>
                <w:lang w:eastAsia="en-GB"/>
              </w:rPr>
              <w:t>04.06.2020 05:16:28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F9AB2B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Գլուխ 5-ի ներդրման մտահաղացումը </w:t>
            </w:r>
            <w:r w:rsidRPr="00E55AE5">
              <w:rPr>
                <w:rFonts w:ascii="GHEA Grapalat" w:eastAsia="Times New Roman" w:hAnsi="GHEA Grapalat" w:cs="Times New Roman"/>
                <w:color w:val="273845"/>
                <w:sz w:val="24"/>
                <w:szCs w:val="24"/>
                <w:lang w:eastAsia="en-GB"/>
              </w:rPr>
              <w:lastRenderedPageBreak/>
              <w:t>բավականին գովելի լինելու հետ մեկտեղ, առաջարկում եմ ձևակերպումներում նախատեսել նաև հզոր գնորդի (այդ թվում ֆիզիկական անձի կամ խմբի) հավանականությունը: Այսինքն սահմանել, որ գնորդների կողմից իրացնողների կամ արտադրողների վրա այնպիսի ներգործությունը որը հետևանք կամ առարկա է հանդիսանում գնորդների կողմից հակամրցակցային համաձայնությունների կայա ցման ի հաշիվ վերջինների բանակցային ուժեղ դիրքի:</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CC62DC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9D81B3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Նկարագրված արարքը որակվում է </w:t>
            </w:r>
            <w:r w:rsidRPr="00E55AE5">
              <w:rPr>
                <w:rFonts w:ascii="GHEA Grapalat" w:eastAsia="Times New Roman" w:hAnsi="GHEA Grapalat" w:cs="Times New Roman"/>
                <w:color w:val="273845"/>
                <w:sz w:val="24"/>
                <w:szCs w:val="24"/>
                <w:lang w:eastAsia="en-GB"/>
              </w:rPr>
              <w:lastRenderedPageBreak/>
              <w:t>որպես հակամրցակցային համաձայնություն, որի վերաբերյալ կարգավորումները նախատեսված են Նախագծի 2-րդ գլխի շրջանակում:</w:t>
            </w:r>
          </w:p>
        </w:tc>
      </w:tr>
      <w:tr w:rsidR="000F2FA5" w:rsidRPr="00E55AE5" w14:paraId="52E8FB14"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B88AED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8</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5A785BB"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04.06.2020 05:16:28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6C246C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Հոդված 14 մաս 1(3), անհասկանալի է տարբեր տոկոսների մեկտեղումը</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623079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 ի գիտություն</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8E6A23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Հավանաբար նկատի է ունեցվել 4-րդ մասը: Կատարվել են համապատասխան փոփոխություններ։</w:t>
            </w:r>
          </w:p>
        </w:tc>
      </w:tr>
      <w:tr w:rsidR="000F2FA5" w:rsidRPr="00E55AE5" w14:paraId="195A48DF"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EF520D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9</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CF95ACE"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04.06.2020 05:16:28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51D58F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Առաջարկում եմ պահպանել գործող օրենքի 10-րդ հոդվածով սահմանված կարգավորումը:</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1EBDF0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Պարզաբանում</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0D869A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Օրենքի 10-րդ հոդվածով նախատեսված կարգավորումները իրենց արտացոլումն են գտել Նախագծի 6-րդ և 15-րդ գլուխների շրջանակներում:</w:t>
            </w:r>
          </w:p>
        </w:tc>
      </w:tr>
      <w:tr w:rsidR="000F2FA5" w:rsidRPr="00E55AE5" w14:paraId="4B223913"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37AA60A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10</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E4A2DF3"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04.06.2020 05:16:28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ED189D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Հոդված 44-ի առաջին և երկրորդ մասերն առաջարկում եմ խմբագրել, քանի որ օրենքով պահպանվող գաղտնի տեղեկատվությանը հասանելիության համար նման ընթացակարգ նախատեսելը կարող է հիմք հանդիսանալ չարաշահումների համար: Այլապես </w:t>
            </w:r>
            <w:r w:rsidRPr="00E55AE5">
              <w:rPr>
                <w:rFonts w:ascii="GHEA Grapalat" w:eastAsia="Times New Roman" w:hAnsi="GHEA Grapalat" w:cs="Times New Roman"/>
                <w:color w:val="273845"/>
                <w:sz w:val="24"/>
                <w:szCs w:val="24"/>
                <w:lang w:eastAsia="en-GB"/>
              </w:rPr>
              <w:lastRenderedPageBreak/>
              <w:t>այդպիսի տեղեկատվության հայցման հատուկ ընթացակարգ և բացառություններ պետք է նախատեսվեն:</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7A29AC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419C18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Հանձնաժողովը Սահմանադրության 6-րդ հոդվածի համաձայն՝ գործում է օրինականության հիման վրա, և Նախագծի 44-րդ հոդվածի 1-ին և 2-րդ մասերի համաձայն՝ Հանձնաժողովը կարող է պահանջել միայն իր լիազորությունների </w:t>
            </w:r>
            <w:r w:rsidRPr="00E55AE5">
              <w:rPr>
                <w:rFonts w:ascii="GHEA Grapalat" w:eastAsia="Times New Roman" w:hAnsi="GHEA Grapalat" w:cs="Times New Roman"/>
                <w:color w:val="273845"/>
                <w:sz w:val="24"/>
                <w:szCs w:val="24"/>
                <w:lang w:eastAsia="en-GB"/>
              </w:rPr>
              <w:lastRenderedPageBreak/>
              <w:t>իրականացման համար անհրաժեշտ տեղեկատվություն: Ընդ որում Նախագծի 45-րդ հոդվածով սահմանված է Հանձնաժողովի կողմից ստացված օրենքով պահպանվող գաղտնիք համարվող տեղեկությունների պահպանման պարտականություն։</w:t>
            </w:r>
          </w:p>
        </w:tc>
      </w:tr>
      <w:tr w:rsidR="000F2FA5" w:rsidRPr="00E55AE5" w14:paraId="782FE658"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AF4705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11</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E8746D3"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04.06.2020 05:16:28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6B4D88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Հոդված 44-ի առաջին և երկրորդ մասերի տեքստը չխմբագրելու պարագայում անհրաժեշտ է առնվազն նախատեսել որ հայցվող փաստաթղթերը և մասնավորապես գաղտնիք համարվող փաստաթղթերը անհրաժեշտ և համաչափության տեսանկյունից բավարար են ստուգման նպատակներից ելնելով: Գրության պարագայում ցանկալի է նախատեսել տնտեսվարողի իրավունքը չտրամադրելու փաստաթղթերը, իսկ որոշման պարագայում տրամադրման պարտադիրությունը: միևնույն ժամանակ նախատեսել որոշման հիմնավորվածության բարձր մակարդակ:</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2E4998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6E19C2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44-րդ հոդվածի 1-ին և 2-րդ մասերի վերլուծությունից բխում է, որ Հանձնաժողովը կարող է պահանջել միայն այնպիսի տեղեկատվություն, որը անհրաժեշտ է իր լիազորությունների իրականացման համար։ Ընդ որում, այս առումով կարևոր է նաև այն, որ օրենսդրությամբ նախատեսված է տեղեկատվությունը չտրամադրելու արդյունքում տնտեսվարողին պատասխանատվության ենթարկելու մասին Հանձնաժողովի ընդունած որոշման բողոքարկման հնարավորություն, որի շրջանակներում կարող է քննարկման առարկա դառնալ նաև տեղեկատվությունը պահանջելու իրավաչափությունը։ Իսկ ինչ վերաբերում է գաղտնիք համարվող տեղեկատվությունը տրամադրելու </w:t>
            </w:r>
            <w:r w:rsidRPr="00E55AE5">
              <w:rPr>
                <w:rFonts w:ascii="GHEA Grapalat" w:eastAsia="Times New Roman" w:hAnsi="GHEA Grapalat" w:cs="Times New Roman"/>
                <w:color w:val="273845"/>
                <w:sz w:val="24"/>
                <w:szCs w:val="24"/>
                <w:lang w:eastAsia="en-GB"/>
              </w:rPr>
              <w:lastRenderedPageBreak/>
              <w:t>պարտադիրության պայմանը միայն որոշման հիման վրա նախատեսելուն, ապա այն խոչընդոտ կհանդիսանա Հանձնաժողովի վարույթի օպետրատիվության ապահովման համար՝ հաշվի առնելով նաև այն, որ Հանձնաժողովը կոլեգիալ մարմին է և նրա կողմից որոշումների ընդունումը որոշակի ընթացակարգ է ենթադրում և կարող է անհարկի ձգձգել վարույթի իրականացման ժամկետները՝ խոչընդոտելով վարույթը օրենքով նախատեսված ժամկետներում իրականացնելու պարտականության իրականացմանը։ Ընդ որում, հարկ է փաստել, որ գրությամբ տեղեկատվություն պահանջելու ինստիտուտը լայնորեն կիրառվում է տարբեր երկրներում։</w:t>
            </w:r>
          </w:p>
        </w:tc>
      </w:tr>
      <w:tr w:rsidR="000F2FA5" w:rsidRPr="00E55AE5" w14:paraId="5A28D703"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60A4B2E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12</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9714322"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04.06.2020 05:16:28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9292DB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Առաջարկում եմ հոդված 67-ում նախատեսել պարզեցված կարգ նաև միևնույն ապրանքային շուկայում սակայն օրինակ միմյանցից հեռու գտնվող տնտեսվարողների համակենտրոնացման կամ շուկայի դասավորվածության վրա էական ազդեցություն չթողնող համակենտրոնացումների համար:</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BCABDF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BE5638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Ապրանքային շուկայի աշխարհագրական սահմանի առկայության պայմաններում նույն ապրանքային շուկայում գտնվող սուբյեկտների համակենտրոնացման տեսանկյունից նրանց գործունեության վայրերի հեռավորությունը նշանակություն </w:t>
            </w:r>
            <w:r w:rsidRPr="00E55AE5">
              <w:rPr>
                <w:rFonts w:ascii="GHEA Grapalat" w:eastAsia="Times New Roman" w:hAnsi="GHEA Grapalat" w:cs="Times New Roman"/>
                <w:color w:val="273845"/>
                <w:sz w:val="24"/>
                <w:szCs w:val="24"/>
                <w:lang w:eastAsia="en-GB"/>
              </w:rPr>
              <w:lastRenderedPageBreak/>
              <w:t>չունի, քանի որ նրանց շուկայական ազդեցության տարածքը համընկնում է։</w:t>
            </w:r>
          </w:p>
        </w:tc>
      </w:tr>
      <w:tr w:rsidR="000F2FA5" w:rsidRPr="00E55AE5" w14:paraId="47F1DA44"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6BCD705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13</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35AD8A6"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Արթուր Բուդուրյան</w:t>
            </w:r>
            <w:r w:rsidRPr="00E55AE5">
              <w:rPr>
                <w:rFonts w:ascii="RobotoSlab-regular" w:eastAsia="Times New Roman" w:hAnsi="RobotoSlab-regular" w:cs="Times New Roman"/>
                <w:color w:val="4B5C6A"/>
                <w:sz w:val="21"/>
                <w:szCs w:val="21"/>
                <w:bdr w:val="none" w:sz="0" w:space="0" w:color="auto" w:frame="1"/>
                <w:lang w:eastAsia="en-GB"/>
              </w:rPr>
              <w:t>04.06.2020 05:21:09</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F3630A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Տնտեսվարողից պահանջվող փաստաթղթերի, գրագրության և վերաբերելի նյութերի համար անհրաժեշտ է սահմանել բացառություն և արտաքին իրավախորհրդատվական, փաստաբանական, հաշվապահական ընկերությունների հետ գրագրությունը օժտել օպերատիվ-հետախուզական գործողություններից իմունիտետով: Սա կնշանակի որ միայն in-house իրավաբանի և հաշվապահի հետ գրագրությունն է ենթակա պահանջման և ըստ անհրաժեշտության առգրավման:</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CF509B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F81F71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Այսպիսի կարգավորման նախատեսումը օրենսդրական հիմք կստեղծի մրցակցային իրավախախտումները արտաքին իրավախորհրդատվական, փաստաբանական, հաշվապահական ընկերությունների միջոցով կատարելու համար:</w:t>
            </w:r>
          </w:p>
        </w:tc>
      </w:tr>
      <w:tr w:rsidR="000F2FA5" w:rsidRPr="00E55AE5" w14:paraId="3F58DF7A"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244F4E8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14</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1845322"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C75FAC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Օրենքը տարածքում է, ի թիվս այլոց, այն գործողությունների կամ վարքագծի վրա, որոնք կարող են վնասել սպառողների շահերը: Մեր կարծիքով այս մոտեցումը խնդրահարույց է, քանի որ սպառողների շահերի պաշտպանությունը տնտեսական մրցակցության պաշտպանության օրենքի կարգավորման առարկա կարող է լինել ոչ թե ինքն իրենով, այլ միայն այնքանով, որքանով սպառողների շահերը վնասվում են հակամրցակցային գործողությունների (այդ թվում՝ անբարեխիղճ մրցակցության) արդյունքում: Ուստի սպառողների շահերի </w:t>
            </w:r>
            <w:r w:rsidRPr="00E55AE5">
              <w:rPr>
                <w:rFonts w:ascii="GHEA Grapalat" w:eastAsia="Times New Roman" w:hAnsi="GHEA Grapalat" w:cs="Times New Roman"/>
                <w:color w:val="273845"/>
                <w:sz w:val="24"/>
                <w:szCs w:val="24"/>
                <w:lang w:eastAsia="en-GB"/>
              </w:rPr>
              <w:lastRenderedPageBreak/>
              <w:t xml:space="preserve">պաշտպանությունը ինքնին չի կարող լինել Օրենքի կարգավորման առարկա: Նախագծով առաջարկվող խմբագրությամբ Օրենքի 2-րդ հոդվածի 2-րդ մասը նախատեսում է Օրենքի կիրառում օտարերկյա պետություններում տնտեսվարող սուբյեկտների այն գործողությունների կամ վարքագծի վրա, որոնք կարող են սահմանափակել, կանխել կամ արգելել տնտեսական մրցակցությունը կամ վնասել սպառողների շահերը Հայաստանի Հանրապետությունում: Թեպետ նման մոտեցում առկա է միջազգային պրակտիկայում (օրինակ՝ ԱՄՆ և ԵՄ օրենսդրությունում), այդուհանդերձ այն գործնականում կարող է խիստ խնդրահարույց լինել, քանի որ այն հակասության մեջ է մտնում ՀՀ Սահմանադրության 79-րդ հոդվածով սահմանված որոշակիության սկզբունքի պահանջներին, քանի որ օտարերկրյա տնտեսվարողի համար կոնկրետ և հստակ չի սահմանվում օրենքի կիրառելիության շրջանակը։ Ավելին, հարկ է հաշվի առնել, որ ի տարբերություն ԵՄ ու ԱՄՆ օրենսդրության, ՀՀ օրենսդրությունը բավականին հասանելի չէ օր օտարերկրյա տնտեսվարողների համար: Նույն հոդվածի 3-րդ մասը նախատեսում է, որ ապրանքային շուկաներն անդրսահմանային </w:t>
            </w:r>
            <w:r w:rsidRPr="00E55AE5">
              <w:rPr>
                <w:rFonts w:ascii="GHEA Grapalat" w:eastAsia="Times New Roman" w:hAnsi="GHEA Grapalat" w:cs="Times New Roman"/>
                <w:color w:val="273845"/>
                <w:sz w:val="24"/>
                <w:szCs w:val="24"/>
                <w:lang w:eastAsia="en-GB"/>
              </w:rPr>
              <w:lastRenderedPageBreak/>
              <w:t xml:space="preserve">դիտարկելու չափանիշները սահմանվում են Եվրասիական տնտեսական միության նորմատիվ իրավական ակտերով: Այս առումով հարկ է հաշվի առնել, որ այդ ակտերը ՀՀ տարածքում ուղղակի կիրառելիություն չունեն՝ ՀՀ Սահմանադրական դատարանի ՍԴՈ-1175 որոշման և «Նորմատիվ իրավական ակտերի մասին» ՀՀ օրենքի 24-րդ հոդվածին համապատասխան։ Նախագծով առաջարկվող խմբագրությամբ Օրենքի 4-րդ հոդվածի 1-ին մասի 1-ին կետը որպես տնտեսական մրցակցություն սահմանում է նշում տնտեսվարող սուբյեկտների մրցություն, որի պայմաններում նրանցից յուրաքանչյուրի ինքնուրույն գործողություններով օբյեկտիվորեն բացառվում կամ սահմանափակվում է համապատասխան ապրանքային շուկայում ապրանքների շրջանառության ընդհանուր պայմանների վրա միակողմանի ազդելու հնարավորությունը: Այս առումով հարկ է հաշվի առնել, որ գործնականում ապրանքների շրջանառության ընդհանուր պայմանների վրա միակողմանի ազդելու հնարավորության (“market power”-ի) բացառումը հնարավոր է միայն այսպես կոչված «իդեալական մրցակցության» (“perfect competition”) պայմաններում, որը, ինչպես լայնորեն ճանաչված է </w:t>
            </w:r>
            <w:r w:rsidRPr="00E55AE5">
              <w:rPr>
                <w:rFonts w:ascii="GHEA Grapalat" w:eastAsia="Times New Roman" w:hAnsi="GHEA Grapalat" w:cs="Times New Roman"/>
                <w:color w:val="273845"/>
                <w:sz w:val="24"/>
                <w:szCs w:val="24"/>
                <w:lang w:eastAsia="en-GB"/>
              </w:rPr>
              <w:lastRenderedPageBreak/>
              <w:t>տեսությունում, հնարավոր չէ, քանի որ ենթադրում է ապրանքների ու դրանց ինքնարժեքի լիակատար նույնականություն (“homogeneity”) և արտադրողների մոտ շուկայական իշխանության (“market power”) ի սպառ բացակայություն (այդ թվում՝ «ապրանքանիշին լոյալության» բացակայություն): Ուստի սահմանումներում այս եզրույթի օգտագործումը կարող է հանգեցնել օրենքի անհարիր լայն մեկնաբանմանը: Համապատասխանաբար առաջարկում ենք քննարկվող դրույթից հանել «բացառվում կամ» բառերը:</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52232FA" w14:textId="514B8592"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 Ընդունվել է ի գիտություն</w:t>
            </w:r>
          </w:p>
          <w:p w14:paraId="3C0A91BD" w14:textId="59500BF4"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Չի ընդունվել</w:t>
            </w:r>
          </w:p>
          <w:p w14:paraId="7C85CF4E" w14:textId="6EE76847"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 Ընդունվել է ի գիտություն</w:t>
            </w:r>
          </w:p>
          <w:p w14:paraId="346EE6C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D979165" w14:textId="3E98676D"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 Նախագծով նախատեսված օրենքի կարգավորման առարկան ընդգրկում է սպառողների շահերի պաշտպանությունը այնքանով, որքանով դրանք վնասվում կամ կարող են վնասվել հակամրցակցային գործողությունների (այդ թվում՝ անբարեխիղճ մրցակցության) արդյունքում: Այդ մասին է վկայում նաև Հանձնաժողովին այս ոլորտում տրված լիազորությունների շրջանակի ուսումնասիորթյունը:</w:t>
            </w:r>
          </w:p>
          <w:p w14:paraId="5AB19F44" w14:textId="77C48F58"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 Օրենքի նպատակն է պաշտպանել և խրախուսել տնտեսական գործունեության ազատությունը, ազատ տնտեսական մրցակցությունը, ապահովել բարեխիղճ մրցակցության համար անհրաժեշտ միջավայր, նպաստել ձեռնարկատիրության զարգացմանը և սպառողների շահերի պաշտպանությանը Հայաստանի Հանրապետությունում: Այս նպատակի իրագործման համար անհրաժեշտ է պաշտպանվող հանրային շահը ապահովել նաև այն պարագայում, երբ դրա նկատմամբ խախտումը թույլ է տրվում օտարերկրյա պետությունում և այն սահմանափակում, կանխում կամ արգելում է տնտեսական մրցակցությունը կամ վնասում է սպառողների շահերը Հայաստանի Հանրապետությունում: Այսպիսի կարգավորում չնախատեսելը կարող է խոչընդոտել օրենքով նախատեսված նպատակի իրագործմանը:</w:t>
            </w:r>
          </w:p>
          <w:p w14:paraId="6B37C9CB" w14:textId="4ABC1F8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3. Անկախ անմիջական կիրառելիության հանգամանքից, Նախագծում համապատասխան նորմի նախատեսումը ինքնին </w:t>
            </w:r>
            <w:r w:rsidRPr="00E55AE5">
              <w:rPr>
                <w:rFonts w:ascii="GHEA Grapalat" w:eastAsia="Times New Roman" w:hAnsi="GHEA Grapalat" w:cs="Times New Roman"/>
                <w:color w:val="273845"/>
                <w:sz w:val="24"/>
                <w:szCs w:val="24"/>
                <w:lang w:eastAsia="en-GB"/>
              </w:rPr>
              <w:lastRenderedPageBreak/>
              <w:t>հնարավորություն է տալիս անդրսահմանային չափանիշը գնահատելիս առաջնորդվել Եվրասիական տնտեսական միության իրավական ակտերով:</w:t>
            </w:r>
          </w:p>
          <w:p w14:paraId="564565A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Մրցակցության հասկացությունը պետք է բնութագրի «իդեալական մրցակցության» էությունը: Ընդ որում, Նախագծով տրված ձևակերպումը նախատեսված է բազմաթիվ երկրների օրենսդրություններում:</w:t>
            </w:r>
          </w:p>
        </w:tc>
      </w:tr>
      <w:tr w:rsidR="000F2FA5" w:rsidRPr="00E55AE5" w14:paraId="30CA59D3"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F822D2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15</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00BF9BA"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678415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Նույն մասի 3-րդ կետը տալիս է փոխադարձ փոխարինելի ապրանքների սահմանումը, որը փաստացի չափազանց լայն է լայն է, և տալիս է անհարիր լայն դիսկրեցիա ապրանքային շուկա սահմանելիս, ինչը պատմականորեն (օրինակ՝ ԵՄ շուկայում) բերել է շուկայի չափազանց նեղ սահմանումների (“Type 1 Errors”): Նման սխալներից խուսափելու համար խիստ նպատակահարմար է օրենսդրորեն կամ առնվազն ենթաօրենսդրական ակտով սահմանել շուկայի որոշման կանոններ՝ հիմնվելով այդ նպատակով համաշխարհային պրակտիկայում առավել ընդունված SSNIP թեստը: Հակառակ դեպքում այս սահմանումը նաև </w:t>
            </w:r>
            <w:r w:rsidRPr="00E55AE5">
              <w:rPr>
                <w:rFonts w:ascii="GHEA Grapalat" w:eastAsia="Times New Roman" w:hAnsi="GHEA Grapalat" w:cs="Times New Roman"/>
                <w:color w:val="273845"/>
                <w:sz w:val="24"/>
                <w:szCs w:val="24"/>
                <w:lang w:eastAsia="en-GB"/>
              </w:rPr>
              <w:lastRenderedPageBreak/>
              <w:t xml:space="preserve">խնդրահարույց է իրավական որոշակիության առումով՝ հաշվի առնելով Սահմանադրության 79-րդ հոդվածի պահանջները։ Հարկ է նշել նաև, որ քննարկվող սահմանման մեջ անտեսվում է ժամանակի գործոնը, որը, շուկայի ապրանքային ու աշխարհագրական սահմանների հետ մեկտեղ, փաստացի որոշիչ է շուկայի սահմանման հարցում: Նույն մասի 9-րդ կետը տալիս է «սպառող» եզրույթի սահմանում, որը, մի կողմից, շփոթություն է առաջացնում «Սպառողների իրավունքների պաշտպանության մասին» ՀՀ օրենքի հետ, և, մյուս կողմից, խոչընդոտում է վերջնական սպառողների ու ապրանքային շղթայի այլ մասնակիցների միջև սկզբունքային տարանջատմանը, որը առավել կարևոր է, մասնավորապես, անբարեխիղճ մրցակցության գործողությունների (օրինակ՝ մոլորությունից տուժողների առումով) ու հակամրցակցային համաձայնություններից բացառությունների (սպառողների համար առավելությունների (օգուտների) համապատասխան մասի ապահովման առումով): Ուստի քննարկվող դրույթում առաջարկում ենք օգտագործել այլ սահմանում: Նույն մասի 12-րդ կետում «ձեռքբերում» հասկացության մեջ «սպառում» հասկացության կիրառումը կարող է մոլորություն առաջացնել, քանի որ </w:t>
            </w:r>
            <w:r w:rsidRPr="00E55AE5">
              <w:rPr>
                <w:rFonts w:ascii="GHEA Grapalat" w:eastAsia="Times New Roman" w:hAnsi="GHEA Grapalat" w:cs="Times New Roman"/>
                <w:color w:val="273845"/>
                <w:sz w:val="24"/>
                <w:szCs w:val="24"/>
                <w:lang w:eastAsia="en-GB"/>
              </w:rPr>
              <w:lastRenderedPageBreak/>
              <w:t xml:space="preserve">սպառումը գույքի օգտակար հատկությունների օգտագործումն է, որը հանգեցնում է դրա որակական հատկանիշների անվերադարձ փոփոխման, և համապատասխանաբար այն չի ներառվում ձեռք բերման հասկացության մեջ: Նույն մասի 9-րդ կետում «տնտեսական պայմաններ (գործոններ)» հասկացության սահմանումը չափից նեղ է, և բացառում է մի շարք վերաբերելի տնտեսական պայմաններ, ինչպիսիք են՝ շուկայում ընդհանուր իրավիճակը, մրցակիցների գործողությունները, հավանական, սակայն ոչ հստակ հայտնի ծախսերը (օրինակ՝ ապրանքի պիտանելիության ժամկետի մոտալուտ ավարտի արդյունքում մոտ ապագայում հնարավոր ծախսեր, որոնք կարող են հիմնավորել դրա վաճառքը ինքնարժեքին մոտ կամ ցածր գնով) և այլն: Նույն մասի 22-րդ կետում առկա սահմանումը թեպետ առաջին հայացքից միանգամայն ընդունելի է, սակայն հատկապես գների պահպանման համատեքստում «որոշակի ժամանակահատվածում» եզրույթը հղի է որոշակի ռիսկերով, քանի որ նեղ մեկնաբանման դեպքում կարող է ենթադրել տնտեսվարողի պարտականություն անընդհատ գնային փոփոխություններով արձագանքել տնտեսական գործողների </w:t>
            </w:r>
            <w:r w:rsidRPr="00E55AE5">
              <w:rPr>
                <w:rFonts w:ascii="GHEA Grapalat" w:eastAsia="Times New Roman" w:hAnsi="GHEA Grapalat" w:cs="Times New Roman"/>
                <w:color w:val="273845"/>
                <w:sz w:val="24"/>
                <w:szCs w:val="24"/>
                <w:lang w:eastAsia="en-GB"/>
              </w:rPr>
              <w:lastRenderedPageBreak/>
              <w:t>բոլոր փոփոխություններին (օրինակ՝ ներմուծվող հումքի գնի փոփոխություններ կապված տարադրամի փոխարժեքի տատանման հետ):</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E708318" w14:textId="2E114725"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 Ընդունվել է ի գիտություն</w:t>
            </w:r>
          </w:p>
          <w:p w14:paraId="3D6228BA" w14:textId="67E32184"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Ընդունվել է</w:t>
            </w:r>
          </w:p>
          <w:p w14:paraId="79C14EE5" w14:textId="0F89C54F"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 Չի ընդունվել</w:t>
            </w:r>
          </w:p>
          <w:p w14:paraId="07FC938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FB4E1C8" w14:textId="336320F2"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 Նախագծի 38-րդ հոդվածի 13-րդ մասի համաձայն`Հանձնաժողովը սահմանում է ապրաքնային շուկաների սահմանների որոշման կարգը:</w:t>
            </w:r>
          </w:p>
          <w:p w14:paraId="5946AEE4" w14:textId="7CF3B50F"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կատարվել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համապատասխան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փոփոխություններ։</w:t>
            </w:r>
          </w:p>
          <w:p w14:paraId="07B036C6" w14:textId="2C75F5CA"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3. </w:t>
            </w:r>
            <w:r w:rsidRPr="00E55AE5">
              <w:rPr>
                <w:rFonts w:ascii="GHEA Grapalat" w:eastAsia="Times New Roman" w:hAnsi="GHEA Grapalat" w:cs="GHEA Grapalat"/>
                <w:color w:val="273845"/>
                <w:sz w:val="24"/>
                <w:szCs w:val="24"/>
                <w:lang w:eastAsia="en-GB"/>
              </w:rPr>
              <w:t>Շուկայում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ընդհանուր</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իրավիճակը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և</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մրցակիցների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գործողությունները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«տնտեսական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պայմաննե</w:t>
            </w:r>
            <w:r w:rsidRPr="00E55AE5">
              <w:rPr>
                <w:rFonts w:ascii="GHEA Grapalat" w:eastAsia="Times New Roman" w:hAnsi="GHEA Grapalat" w:cs="Times New Roman"/>
                <w:color w:val="273845"/>
                <w:sz w:val="24"/>
                <w:szCs w:val="24"/>
                <w:lang w:eastAsia="en-GB"/>
              </w:rPr>
              <w:t xml:space="preserve">ր (գործոններ)» հասկացության մեջ ներառվել չեն կարող, քանի որ այդպիսիք շատ դեպքերում կարող են հակամրցակցային համաձայնությունների արդյունք </w:t>
            </w:r>
            <w:r w:rsidRPr="00E55AE5">
              <w:rPr>
                <w:rFonts w:ascii="GHEA Grapalat" w:eastAsia="Times New Roman" w:hAnsi="GHEA Grapalat" w:cs="Times New Roman"/>
                <w:color w:val="273845"/>
                <w:sz w:val="24"/>
                <w:szCs w:val="24"/>
                <w:lang w:eastAsia="en-GB"/>
              </w:rPr>
              <w:lastRenderedPageBreak/>
              <w:t>լինել: Իսկ հավանական, սակայն ոչ հստակ հայտնի ծախսերը ներառվում են Նախագծով տրված հասկացության շրջանակում:</w:t>
            </w:r>
          </w:p>
          <w:p w14:paraId="0E320A8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4.Գնի չհիմնավորված պահպանման հարցը գնահատելիս առանցքային նշանակություն ունի ժամանակահատվածի ընտրությունը, քանի որ առանց դրա հնարավոր չէ որոշել տնտեսական պայմանների փոփոխությունների ազդեցությունը գնի փոփոխության կամ պահպանման վրա:</w:t>
            </w:r>
          </w:p>
        </w:tc>
      </w:tr>
      <w:tr w:rsidR="000F2FA5" w:rsidRPr="00E55AE5" w14:paraId="6CD695E6"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DE4AE6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16</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903421E"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D0C422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Նույն մասի 24-րդ կետում «մրցակցության սահմանափակման, կանխման կամ արգելման հատկանիշներ» հասկացության սահմանման մեջ «այլ հանգամանքներ, որոնք տնտեսվարող սուբյեկտի համար հնարավորություն են ստեղծում միակողմանիորեն ազդել ապրանքային շուկայում ապրանքի շրջանառության ընդհանուր պայմանների վրա» ձևակերպումը վերաբերվում է նաև օբյեկտիվ գործոններին, որոնք իրենք իրենցով չպետք է դիտվել որպես մրցակցության սահմանափակման, կանխման կամ արգելման հատկանիշներ, այլ սոկս տնտեսական գործոններ, որոնց լույսի ներքո պետք է դիտարկվի տնտեսվարողների վարքագիծը: Նույն սահմանման մեջ «ինչպես նաև պետական մարմինների և (կամ) դրանց պաշտոնատար անձանց կողմից ապրանքների կամ տնտեսվարող սուբյեկտների նկատմամբ օրենքով չնախատեսված պահանջների սահմանումը» ձևակերպման մեջ նշված արարքները կարող են նաև որևէ էական ազդեցություն չունենալ մրցակցության վրա, </w:t>
            </w:r>
            <w:r w:rsidRPr="00E55AE5">
              <w:rPr>
                <w:rFonts w:ascii="GHEA Grapalat" w:eastAsia="Times New Roman" w:hAnsi="GHEA Grapalat" w:cs="Times New Roman"/>
                <w:color w:val="273845"/>
                <w:sz w:val="24"/>
                <w:szCs w:val="24"/>
                <w:lang w:eastAsia="en-GB"/>
              </w:rPr>
              <w:lastRenderedPageBreak/>
              <w:t xml:space="preserve">հատկապես եթե կիրառվում են լայնորեն, այլ ոչ թե սոսկ առանձին մրցակիցների հանդեպ: Նման դեպքում հիմնավոր չէ այն որակել որպես մրցակցության սահմանափակման, կանխման կամ արգելման հատկանիշ: Փաստացի խոսքը ոչ թե հատկանիշի, այլ դրա հնարավոր պատճառի մասին է: Նույն մասի 28-րդ կետում հարկատեսակների թվարկման փոխարեն ավելի ճիշտ է բացառել բոլոր անուղակի հարկերը, հաշվի առնելով, որ օրենքը կիրառվում է նաև օտարերկրյա տնտեսվարողների նկատմամբ, որոնք կարող են ենթակա լինել այլ հարկերի: Նույն մասի 30-րդ կետում «օր» հասկացության սահմանումը չի համապատասխանում «Նորմատիվ իրավական ակտերի մասին» ՀՀ օրենքի 31-րդ հոդվածին: Նախագծով առաջարկվող խմբագրությամբ Օրենքի 5-րդ հոդվածի 1-ին մասի 1-ին կետում օգտագործվում է «լիազորագրային կառավարում» եզրույթը, որն օրենսդրությամբ սահմանված չէ, ու կարող է հակասական մեկնաբանությունների տեղիք տալ (հավատարմագրային կառավարում, լիազորագրի առկայություն և այն): Նույն մասի 4-րդ ու 5-րդ կետերում «և (կամ) տալու այդ կազմակերպության կողմից պարտադիր կատարման ենթակա հանձնարարականներ» պայմանը չափից </w:t>
            </w:r>
            <w:r w:rsidRPr="00E55AE5">
              <w:rPr>
                <w:rFonts w:ascii="GHEA Grapalat" w:eastAsia="Times New Roman" w:hAnsi="GHEA Grapalat" w:cs="Times New Roman"/>
                <w:color w:val="273845"/>
                <w:sz w:val="24"/>
                <w:szCs w:val="24"/>
                <w:lang w:eastAsia="en-GB"/>
              </w:rPr>
              <w:lastRenderedPageBreak/>
              <w:t xml:space="preserve">լայն է շարադրված, ու փաստացի ներառում է այնպիսի հանձնարարականներ, որոնք որևէ էական ազդեցություն չունեն մրցակցության վրա: Այս առումով նպատակահարմար է պայմանը կիրառել միայն այնպիսի հանձնարարականների վրա, որոնք կարող են էական ազդեցություն ունենալ կազմակերպության շուկայական վարքագծի կամ մրցունակության վրա: Նույն մասի 7-րդ կետում, տարընթերցումներից խուսափելու համար, անհրաժեշտ է լրացնել, որ խոսքը յուրաքանչյուր կազմակերպության միանձնյա գործադիր մարմինների կազմերի մասին է: Նույն մասի 9-րդ կետում անհրաժեշտ է լրացնել, որ միանձնյա գործադիր մարմինների իրավասությունները ընթացքում համապատասխան կազմակերպություններում իրականացվում են նույն մեկ տարվա ընթացքում: Նույն մասի 11-րդ կետի դրույթները պոտենցիալ խնդրահարույց են ֆրենչայզիգնի դեպքում, որտեղ առանձին ֆրենչայզիների բազմաթիվ գործողություններ կարող են կապ չունենալ ֆրենչայզորի վերահսկողության հետ, ու որի դեպքում ավելի հարիր է կիրառել 5-րդ կետով սահմանված կանոնը: Նույն մասի 13-րդ կետի շարադրանքը ենթադրում է 2-րդ ու 3-րդ մակարդակի կապերի հիման վրա անձանց խմբի որակում, նույնիսկ այն </w:t>
            </w:r>
            <w:r w:rsidRPr="00E55AE5">
              <w:rPr>
                <w:rFonts w:ascii="GHEA Grapalat" w:eastAsia="Times New Roman" w:hAnsi="GHEA Grapalat" w:cs="Times New Roman"/>
                <w:color w:val="273845"/>
                <w:sz w:val="24"/>
                <w:szCs w:val="24"/>
                <w:lang w:eastAsia="en-GB"/>
              </w:rPr>
              <w:lastRenderedPageBreak/>
              <w:t>դեպքերում, երբ փաստացի որևէ էական կապ (ընդհանուր շահեր, համակարգված գործունեություն և այլն) չկա, ինչը առնվազն 3-րդ մակարդակի կապի դեպքում խնդրահարույց է:</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A53AAE9" w14:textId="44630B3E"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 Ընսունվել է ի գիտություն</w:t>
            </w:r>
          </w:p>
          <w:p w14:paraId="56D0A281" w14:textId="26B32098"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Ընդունվել է</w:t>
            </w:r>
          </w:p>
          <w:p w14:paraId="1CF7245A" w14:textId="40F61D3E"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 Չի ընդունվել</w:t>
            </w:r>
          </w:p>
          <w:p w14:paraId="503A6357" w14:textId="3CCCABF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Ընդունվել է</w:t>
            </w:r>
          </w:p>
          <w:p w14:paraId="6B01E7DB" w14:textId="12ECFCEB"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5. Ընդունվել է</w:t>
            </w:r>
          </w:p>
          <w:p w14:paraId="4328A1F0" w14:textId="28AF77F9"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6. Ընդունվել է մասնակի</w:t>
            </w:r>
          </w:p>
          <w:p w14:paraId="08D944E4" w14:textId="6E9A529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7. Չի ընդունվել</w:t>
            </w:r>
          </w:p>
          <w:p w14:paraId="123483FF" w14:textId="315E469D"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8. Ընսունվել է ի գիտություն</w:t>
            </w:r>
          </w:p>
          <w:p w14:paraId="03B884B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9. 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8C80100" w14:textId="08C7C8E2"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կատարվել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համապատասխան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փոփոխություններ։</w:t>
            </w:r>
          </w:p>
          <w:p w14:paraId="0BDB3066" w14:textId="73724364"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3. </w:t>
            </w:r>
            <w:r w:rsidRPr="00E55AE5">
              <w:rPr>
                <w:rFonts w:ascii="GHEA Grapalat" w:eastAsia="Times New Roman" w:hAnsi="GHEA Grapalat" w:cs="GHEA Grapalat"/>
                <w:color w:val="273845"/>
                <w:sz w:val="24"/>
                <w:szCs w:val="24"/>
                <w:lang w:eastAsia="en-GB"/>
              </w:rPr>
              <w:t>Այսպիսի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կարգավորում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նախատեսելու</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պահանջը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բխում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«Նորմատիվ</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իրավական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ակտերի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w:t>
            </w:r>
            <w:r w:rsidRPr="00E55AE5">
              <w:rPr>
                <w:rFonts w:ascii="GHEA Grapalat" w:eastAsia="Times New Roman" w:hAnsi="GHEA Grapalat" w:cs="Times New Roman"/>
                <w:color w:val="273845"/>
                <w:sz w:val="24"/>
                <w:szCs w:val="24"/>
                <w:lang w:eastAsia="en-GB"/>
              </w:rPr>
              <w:t>ասին» ՀՀ օրենքի 21-րդ հոդվածի 6-րդ մասի կարգավորումից:</w:t>
            </w:r>
          </w:p>
          <w:p w14:paraId="72DC72E6" w14:textId="0190438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կատարվել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համապատասխան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փոփոխություններ։</w:t>
            </w:r>
          </w:p>
          <w:p w14:paraId="0E30C417" w14:textId="167A35D5"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5</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կատարվել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համապատասխան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փոփոխություններ։</w:t>
            </w:r>
          </w:p>
          <w:p w14:paraId="7FDF546F" w14:textId="696FE5EC"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6</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Նշված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կետը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խմբագրվել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p>
          <w:p w14:paraId="35B71B5D" w14:textId="04D48743"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7</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տրված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ձևակերպումից</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բխում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որ</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միանձնյա</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գործադիր</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մա</w:t>
            </w:r>
            <w:r w:rsidRPr="00E55AE5">
              <w:rPr>
                <w:rFonts w:ascii="GHEA Grapalat" w:eastAsia="Times New Roman" w:hAnsi="GHEA Grapalat" w:cs="Times New Roman"/>
                <w:color w:val="273845"/>
                <w:sz w:val="24"/>
                <w:szCs w:val="24"/>
                <w:lang w:eastAsia="en-GB"/>
              </w:rPr>
              <w:t>րմինների իրավասությունները կազմակերպություններում իրականացվում են նույն մեկ տարվա ընթացքում։</w:t>
            </w:r>
          </w:p>
          <w:p w14:paraId="4CA18E2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9. Յուրաքանչյուր դեպքում անձանց խմբերի որակմանն անդրադառնալիս անհրաժեշտ է </w:t>
            </w:r>
            <w:r w:rsidRPr="00E55AE5">
              <w:rPr>
                <w:rFonts w:ascii="GHEA Grapalat" w:eastAsia="Times New Roman" w:hAnsi="GHEA Grapalat" w:cs="Times New Roman"/>
                <w:color w:val="273845"/>
                <w:sz w:val="24"/>
                <w:szCs w:val="24"/>
                <w:lang w:eastAsia="en-GB"/>
              </w:rPr>
              <w:lastRenderedPageBreak/>
              <w:t>հաշվի առնել փոխկապվածության կամ վերակսկողության գործոնի առկայության հարցը, որպիսի պահանջը բխում է Նախագծի 5-րդ հոդվածի 1-ին մասից:</w:t>
            </w:r>
          </w:p>
        </w:tc>
      </w:tr>
      <w:tr w:rsidR="000F2FA5" w:rsidRPr="00E55AE5" w14:paraId="180EF8F9"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F4199C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17</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2B65A6A"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8B7619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առաջարկվող խմբագրությամբ Օրենքի 6-րդ հոդվածի 1-ին մասի 1-3 կետերում համաձայնությունների դասակարգման համար կիրառվող սահմանումները ելնում են սուբյեկտների կազմից, այլ ոչ թե համաձայնության առարկա հանդիսացող շուկայից, այն կարող է հանգեցնել մի իրավիճակի, երբ, օրինակ, փաստացի ուղղահայաց համաձայնությունները կորակվեն հորիզոնական զուտ այն հիմքով, որ, անկախ համաձայնության առարկայից, դրա կողմերը մրցակից են (օրինակ՝ դիստրիբուցիոն պայմանագիր, որով դիտրիբուտորը հանդիսանում է պոտենցիալ մրցակից, թեկուզ և դիստրիբուցիոն պայմանագիրը որևէ կերպ չի սահմանափակում մրցակցային գործունեությունը նույն շուկայում): Նման դեպքում, օրինակ, բացառիկ դիստրիբուցիայի պայմանագիրը կհամարվի անօրինական հորիզոնական համաձայնության, թեպետ որպես ուղղահայաց համաձայնություն այն կարող է </w:t>
            </w:r>
            <w:r w:rsidRPr="00E55AE5">
              <w:rPr>
                <w:rFonts w:ascii="GHEA Grapalat" w:eastAsia="Times New Roman" w:hAnsi="GHEA Grapalat" w:cs="Times New Roman"/>
                <w:color w:val="273845"/>
                <w:sz w:val="24"/>
                <w:szCs w:val="24"/>
                <w:lang w:eastAsia="en-GB"/>
              </w:rPr>
              <w:lastRenderedPageBreak/>
              <w:t xml:space="preserve">չխախտել որևէ օրենսդրական պահանջ, կամ լիովին բավարարել սահմանված բացառություններին: Ուստի առաջարկվում է համաձայնությունների սահմանումները կապել ոչ թե սոսկ սուբյեկտային կազմի, այլ նաև դրանց առարկա հանդիսացող շուկայի հետ: Նախագծով առաջարկվող խմբագրությամբ Օրենքի 6-րդ հոդվածի 4-րդ մասի 2-րդ կետով նախատեսված բացառությունը, ենթադրաբար, նախատեսված է ֆրենչայզինգի դեպքերի համար, որի առումով այն միանգամայն ողջունելի է: Սակայն միջազգային պրակտիկայում (օրինակ՝ ԵՄ հակամրցակցային կարգավորումներում) ընդունված է նաև բացառություն սահմանել բացառիկ դիստրիբուցիայի պայմանագրերի համար (տարածքային բացառիկություն), եթե դրանցով ստեղծվող սահմանափակումները (intra-brand մրցակցության նվազումը) հավասարակշռվում են այլ արտադրողների փոխադարձ փոխարինելի ապրանքների մասով առկա մրցակցությամբ (inter-brand մրցակցություն): Առաջարկում ենք համապատասխան բացառությունը սահմանել ավելի լայն՝ ներառելով այն դեպքերը, երբ այլ բացառիկ դիստրիբուցիայի շրջանակներում մրցակցության հնարավոր </w:t>
            </w:r>
            <w:r w:rsidRPr="00E55AE5">
              <w:rPr>
                <w:rFonts w:ascii="GHEA Grapalat" w:eastAsia="Times New Roman" w:hAnsi="GHEA Grapalat" w:cs="Times New Roman"/>
                <w:color w:val="273845"/>
                <w:sz w:val="24"/>
                <w:szCs w:val="24"/>
                <w:lang w:eastAsia="en-GB"/>
              </w:rPr>
              <w:lastRenderedPageBreak/>
              <w:t>սահմանափակումը հավասարակշռվում է այլ արտադրողների փոխադարձ փոխարինելի ապրանքների շնորհիվ առկա մրցակցությամբ: Նախագծով առաջարկվող խմբագրությամբ Օրենքի 6-րդ հոդվածի 5-րդ մասի 4-րդ կետում «անհավասար պայմաններ» ձևակերպումը հաշվի չի առնում համապատասխան պայմանների տարբերության՝ տնտեսապես հիմնավորված լինելու հնարավորությունը: Ուստի առաջարկվում է փոխարենը կիրառել «տնտեսապես հիմնավորված անհավասար պայմաններ» եզրույթը: Նախագծով առաջարկվող խմբագրությամբ Օրենքի 6-րդ հոդվածի 5-րդ մասի 5-րդ խոսվում չհիմնավորված կամ ոչ շահավետ դրույթների մասին, որոնք, սակայն, մասնավորապես այլ համակրցակցային համաձայնությունների դեպքում, կարող են որևէ էական ազդեցություն չունենալ մրցակցության վրա, ուստի նպատակահարմար է այս կետի կիրառման համար անհրաժեշտ պայման համարել մրցացկության վրա բացասական ազդեցությունը:</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E2873FE" w14:textId="6855BC27"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 Ընդունվել է ի գիտություն</w:t>
            </w:r>
          </w:p>
          <w:p w14:paraId="60F69457" w14:textId="3C200174"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Չի ընդունվել</w:t>
            </w:r>
          </w:p>
          <w:p w14:paraId="6EA5A8DE" w14:textId="32E49E73"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 Ընդունվել է մասնակի</w:t>
            </w:r>
          </w:p>
          <w:p w14:paraId="644C2FA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9CC0B61" w14:textId="079F7D6B"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Բացառիկ դիստրիբուցիայի կապակցությամբ առաջարկվող կարգավորումը՝ անհրաժեշտ պայմանների առկայության դեպքում կարող է ներառվել Օրենքի 6-րդ հոդվածի 8-րդ մասով նախատեսված բացառությունների շրջանակում:</w:t>
            </w:r>
          </w:p>
          <w:p w14:paraId="03DD648E" w14:textId="0C9B2AF8"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 Նշված ձևակերպումը խմբագրվել է «խտրական պայմաններ» ձևակերպմամբ։</w:t>
            </w:r>
          </w:p>
          <w:p w14:paraId="5F6746A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Մրցակցության վրա բացասական ազդեցություն ունենալու հարցը գնահատման է ենթակա յուրաքանչյուր դեպքում, որպիսի եզրահանգումը բխում է հակամրցակցային համաձայնության հասկացությունից:</w:t>
            </w:r>
          </w:p>
        </w:tc>
      </w:tr>
      <w:tr w:rsidR="000F2FA5" w:rsidRPr="00E55AE5" w14:paraId="22225712"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1721CA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18</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1C33033"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 xml:space="preserve">04.06.2020 </w:t>
            </w:r>
            <w:r w:rsidRPr="00E55AE5">
              <w:rPr>
                <w:rFonts w:ascii="RobotoSlab-regular" w:eastAsia="Times New Roman" w:hAnsi="RobotoSlab-regular" w:cs="Times New Roman"/>
                <w:color w:val="4B5C6A"/>
                <w:sz w:val="21"/>
                <w:szCs w:val="21"/>
                <w:bdr w:val="none" w:sz="0" w:space="0" w:color="auto" w:frame="1"/>
                <w:lang w:eastAsia="en-GB"/>
              </w:rPr>
              <w:lastRenderedPageBreak/>
              <w:t>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81D117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Նախագծով առաջարկվող խմբագրությամբ Օրենքի 6-րդ հոդվածի 8-րդ մասի 3-րդ կետում սահմանված է բացառություն ուղղահայաց համաձայնությունների համար, </w:t>
            </w:r>
            <w:r w:rsidRPr="00E55AE5">
              <w:rPr>
                <w:rFonts w:ascii="GHEA Grapalat" w:eastAsia="Times New Roman" w:hAnsi="GHEA Grapalat" w:cs="Times New Roman"/>
                <w:color w:val="273845"/>
                <w:sz w:val="24"/>
                <w:szCs w:val="24"/>
                <w:lang w:eastAsia="en-GB"/>
              </w:rPr>
              <w:lastRenderedPageBreak/>
              <w:t xml:space="preserve">որը, սակայն, միջազգային պրակտիկայում վերաբերում առաջին հերթին հորիզոնտալ համաձայնություններին, և Հայաստանյան տնտեսվարողների մրցակցությունը միջազգային շուկաներում չսահմանափակելու համար նպատակահարմար է դրանից օգտվելու հնարավորություն սահմանել նաև հորիզոնտալ համաձայնությունների համար: Հաշվի առնելով բացառության խիստ նախապայմանները, նման փոփոխությունը որևէ էական բացասական ազդեցություն չի ունենա տնտեսական մրցակցության վրա, և միաժամանակ օրենսդրական միջավայրը կդարձնի առավել համահունչ միջազգային լավագույն փորձին ու ողջամտորեն բարենպաստ: Նախագծով առաջարկվող խմբագրությամբ Օրենքի 8-րդ հոդվածի 2-րդ մասի 3-րդ ու 4-րդ կետերից պարզ չէ, արդյո՞ք շուկայի մասնաբաժնով երկրորդ ու երրորդ տնտեսվարողները կարող են համարվել գերիշխող, եթե համապատասխանաբար առաջին կամ առաջին ու երկրորդ տնեսվարողները արդեն իսկ առանձին բավարարում են գերիշխող լինելու չափանիշներին (օրինակ՝ շուկայում առկա են հետևյալ մասնաբաժինները 38%+18%+10%): Կարծում ենք այս հարցը հստակեցման կարիք ունի՝ Օրենքի որոշակիությունը ապահովելու </w:t>
            </w:r>
            <w:r w:rsidRPr="00E55AE5">
              <w:rPr>
                <w:rFonts w:ascii="GHEA Grapalat" w:eastAsia="Times New Roman" w:hAnsi="GHEA Grapalat" w:cs="Times New Roman"/>
                <w:color w:val="273845"/>
                <w:sz w:val="24"/>
                <w:szCs w:val="24"/>
                <w:lang w:eastAsia="en-GB"/>
              </w:rPr>
              <w:lastRenderedPageBreak/>
              <w:t xml:space="preserve">համար (հատկապես հաշվի առնելով, որ նախկինում այդ դրույթների մասով որոշ դեպքերում առկա է եղել ոչ միատեսակ մոտեցում): Նախագծով առաջարկվող խմբագրությամբ Օրենքի 9-րդ հոդվածի 2-րդ մասի 1-ին կետում կիրառվում է «խտրական գներ» եզրույթը, որը սակայն Օրենքում որևէ ձև չի սահմանվում: Հաշվի առնելով այս եզրույթի մեծ կարևորությունը, Օրենքի որոշակիությունը ու կանխատեսելիությունը ապահովելու համար անհրաժեշտ է տալ խտրական գների սահմանում կամ նախատեսել, որ գների՝ խտրական լինելու որոշման կարգը և չափանիշները սահմանում է Հանձնաժողովը: Նախագծով առաջարկվող խմբագրությամբ Օրենքի 9-րդ հոդվածի 2-րդ մասի 3-րդ կետում արգելվում է գերիշխող դիրք ունեցող տնտեսվարողի կողմից արտադրության արդիականացման սահմանափակումը: Քանի որ նման սահմանափակումը կարող է անխուսափելի հետևանք լինել մտավոր սեփականության իրավունքների իրավաչափ օգտագործման (օրինակ՝ արտոնագրի հանդեպ լիցենզ չտալը, որին պետությունը տնտեսվարողին չի կարող պարտադրել TRIPS համաձայնագրի 31-րդ հոդվածի համաձայն), հարկ է այս դրույթից բացառություն սահմանել մտավոր </w:t>
            </w:r>
            <w:r w:rsidRPr="00E55AE5">
              <w:rPr>
                <w:rFonts w:ascii="GHEA Grapalat" w:eastAsia="Times New Roman" w:hAnsi="GHEA Grapalat" w:cs="Times New Roman"/>
                <w:color w:val="273845"/>
                <w:sz w:val="24"/>
                <w:szCs w:val="24"/>
                <w:lang w:eastAsia="en-GB"/>
              </w:rPr>
              <w:lastRenderedPageBreak/>
              <w:t>սեփականության իրավունքների իրավաչափ իրականացման մասով: Նախագծով առաջարկվող խմբագրությամբ Օրենքի 10-րդ հոդվածի 2-րդ մասում չհիմնավորված բարձր գնից առկա բացառությունները հաշվի չեն առնում այն հանգամանքը, որ գործնականում հիմնավոր չէ չհիմնավորված բարձր համարել նաև այսպես ասած «նիշային պրոդուկտների» (“niche-products”) գները: Ընդ որում, գործնականում նաև գերիշխող տնտեսվարողը կարող է շուկայում իր առաջատար պրոդուկտի հետ մեկտեղ վաճառքի առաջարկել ցածր սպառում ու բարձր գին ունեցող «նիշային պրոդուկտ», որի նկատմամբ տրամաբանորեն չպետք է կիրառվի «չհիմնավորված բարձր գին» եզրույթը: Օրինակ, առաջատար գինի արտադրողը կարող է իր սահմանափակ քանակությամբ «reserve» տեսկանակու համար կիրառել ավելի բարձր գին, քան մրցակիցների կողմից առաջարկվում է նման որակի ու տեսակի ապրանքի համար, որը, սակայն, գործնականում գերիշխող դիրքի չարաշահում չէ, քանի որ գործնականում բացասական ազդեցություն չի կարող ունենալ մրցակցության կամ սպառողի շահերի վրա, քանի որ խոսքը գնում է տվյալ շուկայում «նիշային պրոդուկտ»-ի մասին:</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E32A14C" w14:textId="37CC2F4E"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 Չի ընդունվել</w:t>
            </w:r>
          </w:p>
          <w:p w14:paraId="6762AF82" w14:textId="2F3F9A8E"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Չի ընդունվել</w:t>
            </w:r>
          </w:p>
          <w:p w14:paraId="4FF3F255" w14:textId="3618FD8C"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3. Չի </w:t>
            </w:r>
            <w:r w:rsidRPr="00E55AE5">
              <w:rPr>
                <w:rFonts w:ascii="GHEA Grapalat" w:eastAsia="Times New Roman" w:hAnsi="GHEA Grapalat" w:cs="Times New Roman"/>
                <w:color w:val="273845"/>
                <w:sz w:val="24"/>
                <w:szCs w:val="24"/>
                <w:lang w:eastAsia="en-GB"/>
              </w:rPr>
              <w:lastRenderedPageBreak/>
              <w:t>ընդունվել</w:t>
            </w:r>
          </w:p>
          <w:p w14:paraId="5CA47421" w14:textId="77C3B408"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Ընդունվել է ի գիտություն</w:t>
            </w:r>
          </w:p>
          <w:p w14:paraId="2C07FA3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5. Ընդունվել է ի գիտություն</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917F7B6" w14:textId="29DE7E62"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1. Հորիզոնական համաձայնություններից բացառություններ չնախատեսելը պայմանավորված է վերջիններիս </w:t>
            </w:r>
            <w:r w:rsidRPr="00E55AE5">
              <w:rPr>
                <w:rFonts w:ascii="GHEA Grapalat" w:eastAsia="Times New Roman" w:hAnsi="GHEA Grapalat" w:cs="Times New Roman"/>
                <w:color w:val="273845"/>
                <w:sz w:val="24"/>
                <w:szCs w:val="24"/>
                <w:lang w:eastAsia="en-GB"/>
              </w:rPr>
              <w:lastRenderedPageBreak/>
              <w:t>վտանգավորրության աստիճանով: Բացի այդ այդպիսի բացառության նախատեսումը հակասում է ԵԱՏՄ-ի ընդունած չափանիշներին:</w:t>
            </w:r>
          </w:p>
          <w:p w14:paraId="3786DD21" w14:textId="57A34998"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Յուրաանչյուր դեպքում տնտեսվարող սուբյեկտները իրենց գորիշխող դիրք գրավելու մասին եզրահանգմանը կարող են հանգել գնահատելով իրենց հնարավորությունը որոշիչ ազդեցություն ունենալու տվյալ ապրանքային շուկայում ապրանքների շրջանառության ընդհանուր պայմանների վրա և (կամ) դուրս մղելու այլ տնտեսվարող սուբյեկտին տվյալ ապրանքային շուկայից և (կամ) խոչընդոտելու տվյալ ապրանքային շուկա մուտք գործելուն։</w:t>
            </w:r>
          </w:p>
          <w:p w14:paraId="4BDE16E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 Խտրական գներ տերմինը ներառվում է խտրական պայմաններ հասկացության մեջ և լրացուցիչ մեկնաբանման անհրաժեշտութուն չունի ։</w:t>
            </w:r>
          </w:p>
        </w:tc>
      </w:tr>
      <w:tr w:rsidR="000F2FA5" w:rsidRPr="00E55AE5" w14:paraId="3A12BD81"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A73004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19</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8DE096B"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91C2A1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առաջարկվող խմբագրությամբ Օրենքի 10-րդ հոդվածի 2-րդ մասի 2-րդ կետում չհիմնավորված բարձր գնից առկա բացառությունը հաշվի չի առնում, որ նոր ապրանքի դեպքում «դրա արտադրության ծախսերի կրճատում կամ որակի բարելավում» չի կարող լինել: Կրճատումը կամ բարելավումը տեղի են ունենում ի համեմատ շուկայում արդեն իսկ առկա փոխադարձ փոխարինելի ապրանքների: Առաջարկում եմ այս հարցը հստակեցնել: Նախագծով առաջարկվող կարգավորումները «բանակցային ուժեղ դիրքի» մասով ընդհանուր առմամբ խնդրահարույց են: Համապատասխան գլուխն ընդհանուր առմամբ սահմանում է գերիշխող դիրք ունեցող տնտեսավարողների նկատմամբ կիրառվող սահմանափակումների հետ համեմատելի սահմանափակումներ, սակայն, ի տարբերություն գերիշխող դիրքի, թույլ չի տալիս որոշակիորեն նույնականացնել այս պարտականությունները կրող սուբյեկտների, իսկ դրանց որոշման չափանիշները չեն համապատասխանում որոշակիության սկզբունքի պահանջներին: Ավելին, գործնականում բանակցային ուժեղ դիրք ունեցող տնտեսվարողի բացասական ազդեցությունը մրցակցության վրա համեմատելի չէ գերիշխող տնտեսվարողի </w:t>
            </w:r>
            <w:r w:rsidRPr="00E55AE5">
              <w:rPr>
                <w:rFonts w:ascii="GHEA Grapalat" w:eastAsia="Times New Roman" w:hAnsi="GHEA Grapalat" w:cs="Times New Roman"/>
                <w:color w:val="273845"/>
                <w:sz w:val="24"/>
                <w:szCs w:val="24"/>
                <w:lang w:eastAsia="en-GB"/>
              </w:rPr>
              <w:lastRenderedPageBreak/>
              <w:t xml:space="preserve">ազդեցության հետ, ինչը ենթադրում է, որ առաջինի դեպքում սահմանափակումները պետք է նկատելիորեն ավելի քիչ լինել: Ուստի խնդրո առարկա իրավակարգավորումները հստակեցման կարիք ունեն: Այսպես, օրինակ, Նախագծով առաջարկվող խմբագրությամբ Օրենքի 12-րդ հոդվածի 1-ին մասի 1-ին կետում «էական ազդեցություն» եզրույթը չափազանց անորոշ է: Օրենքի որոշակիությունը ու կանխատեսելիությունը ապահովելու համար անհրաժեշտ է տալ «էական ազդեցության» սահմանում կամ նախատեսել, որ դրա որոշման կարգը և չափանիշները սահմանում է Հանձնաժողովը: Նույն մասի 2-րդ ու 3-րդ կետերում «առևտրային օբյեկտ» եզրույթի կիրառումը չի բացառում սույն դրույթների համաձայն մեծածախ ու մանրածախ կետերը միասին դիտարկելու հնարավորությունը (քանի որ որպես սպառող դիտվում են նաև իրավաբանական անձիք): Արդյունքում, օրինակ, խոշոր (բայց այլապես ոչ գերիշխող և իր շուկայում համեմատաբար փոքր մասնաբաժին ունեցող) տնտեսվարողը, որն ունի մեծածախ վաճառքի պահեստ, ու 3 մանրածախ խանութ, կհամարվի բանակցային ուժեղ դիրք ունեցող, նունիսկ եթե մանրածախ խանութների գծով իր շրջանառությունը էապես ցածր է </w:t>
            </w:r>
            <w:r w:rsidRPr="00E55AE5">
              <w:rPr>
                <w:rFonts w:ascii="GHEA Grapalat" w:eastAsia="Times New Roman" w:hAnsi="GHEA Grapalat" w:cs="Times New Roman"/>
                <w:color w:val="273845"/>
                <w:sz w:val="24"/>
                <w:szCs w:val="24"/>
                <w:lang w:eastAsia="en-GB"/>
              </w:rPr>
              <w:lastRenderedPageBreak/>
              <w:t>համապատասխան սահմանաչափերից, բայց մեծածախ օբյեկտի շնորհիվ նա գումարային անցնում է սահմանաչափը: Ուստի նպատակահարմար է այս դրույթներում տարանջատում մտցնել մեծածախ ու մանրածախ օբյեկտների միջև: Ուստի առաջարկում ենք համապատասխան դրույթների կիրառումը հստակ սահմանափակել մանրածախ առևտրի կետերով: Նույն հոդվածի 3-րդ մասի 3-րդ կետում կարևոր է թվարկված չափանիշներում ներառել նաև տնտեսվարողի գործունեության ծավալը ու մասնաբաժինը շուկայում, քանի որ դրանք անմիջապես ազդում են բանակցային դիրքի ուժի վրա:</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8883EA7" w14:textId="2E4B3DD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 Ընդունվել է</w:t>
            </w:r>
          </w:p>
          <w:p w14:paraId="3DD8554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F4C38A5" w14:textId="178F1621"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Կատարվել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համապատասխան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փոփոխություններ։</w:t>
            </w:r>
          </w:p>
          <w:p w14:paraId="1A25E01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2. </w:t>
            </w:r>
            <w:r w:rsidRPr="00E55AE5">
              <w:rPr>
                <w:rFonts w:ascii="GHEA Grapalat" w:eastAsia="Times New Roman" w:hAnsi="GHEA Grapalat" w:cs="GHEA Grapalat"/>
                <w:color w:val="273845"/>
                <w:sz w:val="24"/>
                <w:szCs w:val="24"/>
                <w:lang w:eastAsia="en-GB"/>
              </w:rPr>
              <w:t>Բանակցային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ուժեղ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դիրքը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տարբերություն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գերիշխող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դիրքի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պահանջում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ապրանքային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շուկայի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հատկորոշում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Առաջարկությամբ</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վկայակոչված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հանգամանքները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կարևորվում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գորիշխող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դիրքը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որոշելիս</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Իսկ</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ինչ</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վերաբերում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էական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ազ</w:t>
            </w:r>
            <w:r w:rsidRPr="00E55AE5">
              <w:rPr>
                <w:rFonts w:ascii="GHEA Grapalat" w:eastAsia="Times New Roman" w:hAnsi="GHEA Grapalat" w:cs="Times New Roman"/>
                <w:color w:val="273845"/>
                <w:sz w:val="24"/>
                <w:szCs w:val="24"/>
                <w:lang w:eastAsia="en-GB"/>
              </w:rPr>
              <w:t>դեցության սահմանման անհրաժեշտությանը, ապա պետք է փաստել, որ դրա բնորոշումը նախատեսված է Նախագծի 12-րդ հոդվածի 2-րդ մասով:</w:t>
            </w:r>
          </w:p>
        </w:tc>
      </w:tr>
      <w:tr w:rsidR="000F2FA5" w:rsidRPr="00E55AE5" w14:paraId="0EE46CDF"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BFCCDF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20</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C7636E0"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E24076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առաջարկվող խմբագրությամբ Օրենքի 13-րդ հոդվածի 2-րդ մասում «գործարար շրջանառության սովորույթներ» եզրույթի կիրառումը խնդրահարույց է ՀՀ Սահմանադրության 78-րդ ու 79-րդ հոդվածների պահանջների տեսանկյունից՝ այն այնքան անորոշ է, որ տնտեսավարողը չի կարող ողջամտորեն հասկանալ, թե ինչ կանոնների պետք է հետևի: Նախագծով առաջարկվող խմբագրությամբ Օրենքի 13-րդ հոդվածի 3-րդ մասի 8-րդ կետում ներառված սահմանափակումը թև լիովին հիմնավոր է դասական առևտրի ցանցերի </w:t>
            </w:r>
            <w:r w:rsidRPr="00E55AE5">
              <w:rPr>
                <w:rFonts w:ascii="GHEA Grapalat" w:eastAsia="Times New Roman" w:hAnsi="GHEA Grapalat" w:cs="Times New Roman"/>
                <w:color w:val="273845"/>
                <w:sz w:val="24"/>
                <w:szCs w:val="24"/>
                <w:lang w:eastAsia="en-GB"/>
              </w:rPr>
              <w:lastRenderedPageBreak/>
              <w:t xml:space="preserve">դեպքում, սակայն արտադրողի կամ դիստրիբուտորի ֆիրմային խանութների դեպքում այն առավել քան խնդրահարույց է, քանի որ դրանք իրենց էությամբ ենթադրում են մրցակիցների ապրանքի բացառում: Ուստի անհրաժեշտ է այս կետի մասով սահմանել համապատասխան բացառություն՝ խոշոր առևտրի ցանց չհանդիսացող ու անմիջապես արտադրողին/ներմուծողին (կամ նրանց խմբին) պատկանող առևտրի օբյեկտների մասով: Նախագծով առաջարկվող խմբագրությամբ Օրենքի 14-րդ հոդվածի 1-ին մասի 5-րդ կետի արտատարածքային կիրառումը (որը հիմնավոր ու համաչափ չէր լինի օրենքի նպատակներին) բացառելու նպատակով նպատակահարմար է համապատասխան դրույթների գործողությունը սահմանափակել ՀՀ տարածքում իրավական պաշտպանություն ստացած մտավոր սեփականության իրավունքներով ու անհատականացման այլ միջոցի օգտագործման իրավունքներով: Նմանապես, Նախագծով առաջարկվող խմբագրությամբ Օրենքի 14-րդ հոդվածի 1-ին մասի 6-րդ ու 7-րդ կետերի արտատարածքային կիրառումը (որը հիմնավոր ու համաչափ չէր լինի օրենքի նպատակներին) բացառելու նպատակով նպատակահարմար է համապատասխան </w:t>
            </w:r>
            <w:r w:rsidRPr="00E55AE5">
              <w:rPr>
                <w:rFonts w:ascii="GHEA Grapalat" w:eastAsia="Times New Roman" w:hAnsi="GHEA Grapalat" w:cs="Times New Roman"/>
                <w:color w:val="273845"/>
                <w:sz w:val="24"/>
                <w:szCs w:val="24"/>
                <w:lang w:eastAsia="en-GB"/>
              </w:rPr>
              <w:lastRenderedPageBreak/>
              <w:t>դրույթների գործողությունը սահմանափակել ՀՀ տարածքում գրանցված/հիմնադրվող իրավաբանական անձանցով: Նախագծով առաջարկվող խմբագրությամբ Օրենքի 16-րդ հոդվածի 1-ին մասի 1-3 կետերի առումով ներկայումս կա էական անորոշություն առ այն, արդյո՞ք սահմանաչափերի կիրառման նպատակով պետք է հաշվի առնվի ՀՀ տարածքից դուրս շրջանառությունն ու ակտիվները: Անդրազգային խմբերի դեպքում դա ստեղծում է իրավիճակ, երբ ՀՀ տարածքում խիստ սահմանափակ ներկայություն և/կամ շրջանառություն ունեցող տնտեսվարողների՝ արտասահմանում տեղի ունեցող համակենտրոնացումների համար տեսականորեն պահանջվում է համաձայնեցում Հանձնաժողովի հետ: Առաջարկում ենք հստակեցնել համապատասխան դրույթներն՝ սահմանելով, որ ակտիվների կամ հասույթի չափը որոշելիս հաշվի են առնվում ՀՀ տարածքում և այդ տարածքից ստացվող հասույթն ու ՀՀ տարածքում գտնվող ակտիվները:</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73D57C1" w14:textId="6750A0FD"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 Ընդունվել է ի գիտություն</w:t>
            </w:r>
          </w:p>
          <w:p w14:paraId="675C76AE" w14:textId="1B3D022C"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Չի ընդունվել</w:t>
            </w:r>
          </w:p>
          <w:p w14:paraId="6141DCCE" w14:textId="0E8919EB"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 Չի ընդունվել</w:t>
            </w:r>
          </w:p>
          <w:p w14:paraId="36C0C4B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C489B2C" w14:textId="3CB40E3C"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Այս բացառությունների նախատեսումը կարող է հնարավորություն տալ ֆիրմային խանութներին այլ տնտեսվարողների նկատմամբ սահմանել և կիրառել արհեստական տարբերություններ:</w:t>
            </w:r>
          </w:p>
          <w:p w14:paraId="28759AE9" w14:textId="6292E0AC"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3. Յուրաքանչյուր դեպքում անհրաժեշտ է քննարկման առարկա դարձնել նաև այն դեպքերը, երբ օտարերկրյա պետություններում տնտեսվարող սուբյեկտների գործողությունները և վարքագիծը </w:t>
            </w:r>
            <w:r w:rsidRPr="00E55AE5">
              <w:rPr>
                <w:rFonts w:ascii="GHEA Grapalat" w:eastAsia="Times New Roman" w:hAnsi="GHEA Grapalat" w:cs="Times New Roman"/>
                <w:color w:val="273845"/>
                <w:sz w:val="24"/>
                <w:szCs w:val="24"/>
                <w:lang w:eastAsia="en-GB"/>
              </w:rPr>
              <w:lastRenderedPageBreak/>
              <w:t>մրցակցության տեսանկյունից ազդեցություն են ունենում Հայաստանի Հանրապետությունում:</w:t>
            </w:r>
          </w:p>
          <w:p w14:paraId="42C4B1C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 Գործնականում հնարավոր չէ որոշել ՀՀ տարածքում և այդ տարածքից ստացվող հասույթն ու ՀՀ տարածքում գտնվող ակտիվները:</w:t>
            </w:r>
          </w:p>
        </w:tc>
      </w:tr>
      <w:tr w:rsidR="000F2FA5" w:rsidRPr="00E55AE5" w14:paraId="2ECD9136"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6C31511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21</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B01EF40"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 xml:space="preserve">04.06.2020 </w:t>
            </w:r>
            <w:r w:rsidRPr="00E55AE5">
              <w:rPr>
                <w:rFonts w:ascii="RobotoSlab-regular" w:eastAsia="Times New Roman" w:hAnsi="RobotoSlab-regular" w:cs="Times New Roman"/>
                <w:color w:val="4B5C6A"/>
                <w:sz w:val="21"/>
                <w:szCs w:val="21"/>
                <w:bdr w:val="none" w:sz="0" w:space="0" w:color="auto" w:frame="1"/>
                <w:lang w:eastAsia="en-GB"/>
              </w:rPr>
              <w:lastRenderedPageBreak/>
              <w:t>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4442DC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Նույն տրամաբանությամբ առաջարկվում է նույն մասի 4-րդ կետում հստակեցնել, որ խոսքը ՀՀ տարածքը կամ դրա մի մասը ներառող ապրանքային շուկաների մասին է: </w:t>
            </w:r>
            <w:r w:rsidRPr="00E55AE5">
              <w:rPr>
                <w:rFonts w:ascii="GHEA Grapalat" w:eastAsia="Times New Roman" w:hAnsi="GHEA Grapalat" w:cs="Times New Roman"/>
                <w:color w:val="273845"/>
                <w:sz w:val="24"/>
                <w:szCs w:val="24"/>
                <w:lang w:eastAsia="en-GB"/>
              </w:rPr>
              <w:lastRenderedPageBreak/>
              <w:t xml:space="preserve">Նախագծով առաջարկվող խմբագրությամբ Օրենքի 18-րդ հոդվածի 1-ին մասի 1-ին կետը սահմանում է օգտագործման ձևերի առավել լայն ցանկ, որի արդյունքում նկարագրված վարքագիծը գործնականում կարող չհանգեցնել շփոթության առաջացման վտանգի՝ չնայած օբյեկտիվորեն նշանների նմանությանը: Այս առնչությամբ առանցքային կարևորություն ունի, որ նմանությունը դիտարկվի ոչ միայն օբյեկտիվ նմանության, այլ նաև շփոթության աստիճանի սուբյեկտիվ տարրի լույսի ներքո: Նույն մասի 6-րդ կետի մասով հարկ է նշել, որ, ի տարբերություն ապրանքային նշանների, որոնց մասով շփոթության աստիճանի նմանության որոշման համար օրենքի ուժով պետք է հաշվի առնվի ապրանքների/ծառայությունների բնույթը, քննարկվող դրույթում նշված օբյեկտների մասով չկա նման պահանջ, ու փաստացի այս դրույթը կարող է կիրառվել այնպիսի դեպքերում, երբ օգտագործումը տեղի է ունենում իրարից էապես տարբերվող ապրանքների/ծառայությունների/ոլորտների առնչությամբ, ու չնայած օբյեկտիվ նմանության շփոթության ռիսկ չկա: Ուստի դրույթի անհիմն լայն կիրառման շրջանակից խուսափելու համար անհրաժեշտ է որպես դրա կիրառման </w:t>
            </w:r>
            <w:r w:rsidRPr="00E55AE5">
              <w:rPr>
                <w:rFonts w:ascii="GHEA Grapalat" w:eastAsia="Times New Roman" w:hAnsi="GHEA Grapalat" w:cs="Times New Roman"/>
                <w:color w:val="273845"/>
                <w:sz w:val="24"/>
                <w:szCs w:val="24"/>
                <w:lang w:eastAsia="en-GB"/>
              </w:rPr>
              <w:lastRenderedPageBreak/>
              <w:t>պայման սահմանել այն, որ նման անհատականացման միջոցի կամ կայքի դիզայնի օգտագործումը, ելնելով օգտագործման ոլորտից ու եղանակից, առաջացնում է կամ կարող է առաջացնել շփոթություն: Նախագծով առաջարկվող խմբագրությամբ Օրենքի 18-րդ հոդվածի 2-րդ մասով նախատեսված կարգավորումը գրանցված ապրանքային նշանների դեպքում չի կարող համահունչ լինել վարչական ակտի հավաստիության կանխավարկածի հետ։ Երբ տնտեսավարողը օրենքով սահմանված կարգով ստանում է պաշտպանություն իր ապրանքային նշանի համար, ապա նա իրավունք ունի վստահելու վարչական մարմնի գործողությունների օրինականությանը։ Միաժամանակ ՀՀ տարածքում միաժամանակ երկու վարչական մարմնի առկայությունը, որոնք երկուսն էլ օժտված կլինեն որոշելու շփոթության աստիճանի առկայություն կամ բացակայություն, չի կարող համադրելի լինել իրավական պետության սկզբունքի հետ:</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69C5E91" w14:textId="37C20E43"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ընդունվել</w:t>
            </w:r>
          </w:p>
          <w:p w14:paraId="47E4BA84" w14:textId="2AA9E9C5"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ընդունվել</w:t>
            </w:r>
          </w:p>
          <w:p w14:paraId="2CD42BA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Ընդունվել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lastRenderedPageBreak/>
              <w:t>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գիտությու</w:t>
            </w:r>
            <w:r w:rsidRPr="00E55AE5">
              <w:rPr>
                <w:rFonts w:ascii="GHEA Grapalat" w:eastAsia="Times New Roman" w:hAnsi="GHEA Grapalat" w:cs="Times New Roman"/>
                <w:color w:val="273845"/>
                <w:sz w:val="24"/>
                <w:szCs w:val="24"/>
                <w:lang w:eastAsia="en-GB"/>
              </w:rPr>
              <w:t>ն</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29A7283" w14:textId="537A04B4"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GHEA Grapalat"/>
                <w:color w:val="273845"/>
                <w:sz w:val="24"/>
                <w:szCs w:val="24"/>
                <w:lang w:eastAsia="en-GB"/>
              </w:rPr>
              <w:t>Այս</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դեպքում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ևս</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հաշվի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առնվում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Նախագծի</w:t>
            </w:r>
            <w:r w:rsidRPr="00E55AE5">
              <w:rPr>
                <w:rFonts w:ascii="GHEA Grapalat" w:eastAsia="Times New Roman" w:hAnsi="GHEA Grapalat" w:cs="Times New Roman"/>
                <w:color w:val="273845"/>
                <w:sz w:val="24"/>
                <w:szCs w:val="24"/>
                <w:lang w:eastAsia="en-GB"/>
              </w:rPr>
              <w:t xml:space="preserve"> 2-</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հոդվածի</w:t>
            </w:r>
            <w:r w:rsidRPr="00E55AE5">
              <w:rPr>
                <w:rFonts w:ascii="GHEA Grapalat" w:eastAsia="Times New Roman" w:hAnsi="GHEA Grapalat" w:cs="Times New Roman"/>
                <w:color w:val="273845"/>
                <w:sz w:val="24"/>
                <w:szCs w:val="24"/>
                <w:lang w:eastAsia="en-GB"/>
              </w:rPr>
              <w:t xml:space="preserve"> 2-</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մասի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իրավակարգավորումներ</w:t>
            </w:r>
            <w:r w:rsidRPr="00E55AE5">
              <w:rPr>
                <w:rFonts w:ascii="GHEA Grapalat" w:eastAsia="Times New Roman" w:hAnsi="GHEA Grapalat" w:cs="Times New Roman"/>
                <w:color w:val="273845"/>
                <w:sz w:val="24"/>
                <w:szCs w:val="24"/>
                <w:lang w:eastAsia="en-GB"/>
              </w:rPr>
              <w:t>ը։</w:t>
            </w:r>
          </w:p>
          <w:p w14:paraId="5A28002D" w14:textId="0B135AF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Նշված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հոդվածներում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կիրառվող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lastRenderedPageBreak/>
              <w:t>«շփոթության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աստիճանի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նման»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հասկացությունն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ինքնին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ենթադրում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ոչ</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միայն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նմանություն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այլև</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այդ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նմանության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արդյունքում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շփոթվելու</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հավանականությունը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ինչը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հնարավոր</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ապրանքների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ծառայությունների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տարբերության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դեպքում։</w:t>
            </w:r>
          </w:p>
          <w:p w14:paraId="4B9BB07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Քնն</w:t>
            </w:r>
            <w:r w:rsidRPr="00E55AE5">
              <w:rPr>
                <w:rFonts w:ascii="GHEA Grapalat" w:eastAsia="Times New Roman" w:hAnsi="GHEA Grapalat" w:cs="Times New Roman"/>
                <w:color w:val="273845"/>
                <w:sz w:val="24"/>
                <w:szCs w:val="24"/>
                <w:lang w:eastAsia="en-GB"/>
              </w:rPr>
              <w:t>արկվում է մրցակցային օրենսդրությունը խախտող գրանցված ապրանքային նշանների առումով արդյունավետ միջոցների ներդրման հարցը։</w:t>
            </w:r>
          </w:p>
        </w:tc>
      </w:tr>
      <w:tr w:rsidR="000F2FA5" w:rsidRPr="00E55AE5" w14:paraId="5987142B"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F487F2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22</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B42363C"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627717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առաջարկվող խմբագրությամբ Օրենքի 18-րդ հոդվածի 3-րդ մասով նախատեսված կարգավորումը առավել խնդրահարույց է և պետք է հանվի Նախագծից: Այս դրույթը հակասում է </w:t>
            </w:r>
            <w:r w:rsidRPr="00E55AE5">
              <w:rPr>
                <w:rFonts w:ascii="GHEA Grapalat" w:eastAsia="Times New Roman" w:hAnsi="GHEA Grapalat" w:cs="Times New Roman"/>
                <w:color w:val="273845"/>
                <w:sz w:val="24"/>
                <w:szCs w:val="24"/>
                <w:lang w:eastAsia="en-GB"/>
              </w:rPr>
              <w:lastRenderedPageBreak/>
              <w:t xml:space="preserve">Մարդու իրավունքների եվրոպական կոնվենցիայի 1-ին արձանագրության դրույթներին ու խնդրահարույց է նաև ՀՀ Սահմանադրության առումով: Ապրանքային նշանի գրանցումը կարող է անվավեր ճանաչվել միայն դատարանի որոշմամբ: Ինչպես արձանագրել է Վճռաբեկ դատարանը ՎԴ/4241/05/11 վարչական գործով՝ &lt;&lt;Մարդու իրավունքների և հիմնարար ազատությունների պաշտպանության մասին&gt;&gt; եվրոպական կոնվենցիայի (այսուհետ` Կոնվենցիա) 1-ին արձանագրության 1-ին հոդվածի 1-ին պարբերության համաձայն` յուրաքանչյուր ֆիզիկական կամ իրավաբանական անձ ունի իր գույքից անարգել օգտվելու իրավունք։ Ոչ ոքի չի կարելի զրկել նրա գույքից, բացառությամբ ի շահ հանրության և այն պայմաններով, որոնք նախատեսված են օրենքով ու միջազգային իրավունքի ընդհանուր սկզբունքներով: Վկայակոչված նորմերից հետևում է, որ սեփականության իրավունքի պաշտպանությունն իրականացվում է ինչպես սահմանադրաիրավական, այնպես էլ միջազգային-իրավական նորմերի ուժով, իսկ մտավոր սեփականության իրավունքի պաշտպանությունը, բացի վերոգրյալ երաշխիքներից, իրականացվում է նաև օրենքի ուժով: Ավելին, Վճռաբեկ </w:t>
            </w:r>
            <w:r w:rsidRPr="00E55AE5">
              <w:rPr>
                <w:rFonts w:ascii="GHEA Grapalat" w:eastAsia="Times New Roman" w:hAnsi="GHEA Grapalat" w:cs="Times New Roman"/>
                <w:color w:val="273845"/>
                <w:sz w:val="24"/>
                <w:szCs w:val="24"/>
                <w:lang w:eastAsia="en-GB"/>
              </w:rPr>
              <w:lastRenderedPageBreak/>
              <w:t xml:space="preserve">դատարանը փաստում է, որ Մարդու իրավունքների եվրոպական դատարանն իր նախադեպային իրավունքում արտահայտել է իրավական դիրքորոշում այն մասին, որ Կոնվենցիայի 1-ին արձանագրության 1-ին հոդվածն ըստ էության կիրառելի է նաև մտավոր սեփականության նկատմամբ (տե'ս, օրինակ &lt;&lt;ANHEUSER-BUSCH INC&gt;&gt; ընկերությունն ընդդեմ Պորտուգալիայի թիվ 73049/01 գործով Մարդու իրավունքների եվրոպական դատարանի 11.01.2007 թվականի վճիռը): Այսպիսով, Վճռաբեկ դատարանն արձանագրում է, որ մտավոր սեփականության իրավունքի, այդ թվում նաև ապրանքային նշանի նկատմամբ իրավունքի` որպես մտավոր սեփականության օբյեկտի իրավական պաշտպանությունն իրականացվում է վերոգրյալ նորմերի և դրանց կիրառումն ապահովելու նպատակով ընդունված օրենքների և այլ նորմատիվ իրավական ակտերի ուժով: Այս դրույթը նաև հակասում է ՀՀ Սահմանադրության 162-րդ հոդվածին, քանի որ ըստ էության հանձնաժողովը ստանձնում է արդարադատության իրականացման գործառույթ՝ որոշելով գործադիր իշխանության մարմնի գործողությունների օրինականությունը և կայացնելով իր համար պարտադիր որոշում։ Միաժամանակ ինքնավար </w:t>
            </w:r>
            <w:r w:rsidRPr="00E55AE5">
              <w:rPr>
                <w:rFonts w:ascii="GHEA Grapalat" w:eastAsia="Times New Roman" w:hAnsi="GHEA Grapalat" w:cs="Times New Roman"/>
                <w:color w:val="273845"/>
                <w:sz w:val="24"/>
                <w:szCs w:val="24"/>
                <w:lang w:eastAsia="en-GB"/>
              </w:rPr>
              <w:lastRenderedPageBreak/>
              <w:t>մարմինը նաև իշխանությունների տարանջատման սահմանադրական սկզբունքի լույսի ներքո չի կարող ունենալ նման լիազորություններ, քանի որ գործադիր իշխանության մարմնի կողմից կայացված վարչական ակտի օրինականության ստուգումը հնարավոր է միայն իր վերադաս գործադիր մարմնի կամ դատարանի կողմից: Նույն տրամաբանությամբ Նախագծով առաջարկվող խմբագրությամբ Օրենքի 19-րդ հոդվածի 1-ին մասը և 38-րդ հոդվածի 1-ին մասի 4-րդ կետը (ապրանքային նշանների գրանցումների մասով) նույնպես հակասում են Եվրոպական կոնվենցիայի դրույթներին ու խնդրահարույց է նաև Սահմանադրության առումով: Մտավոր սեփականության օբյեկտի գրանցումը կարող է անվավեր ճանաչվել միայն դատարանի որոշմամբ: Նույն տրամաբանությամբ ընդունելի չեն «Ապրանքային նշանների մասին» ՀՀ օրենքում առաջարկվող փոփոխությունները:</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237C72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10DF172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Քննարկվում է մրցակցային օրենսդրությունը խախտող գրանցված ապրանքային նշանների առումով արդյունավետ միջոցների ներդրման հարցը։</w:t>
            </w:r>
          </w:p>
        </w:tc>
      </w:tr>
      <w:tr w:rsidR="000F2FA5" w:rsidRPr="00E55AE5" w14:paraId="1E872C7E"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2E1DA4E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23</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24B8E8D"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7A89B4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առաջարկվող խմբագրությամբ Օրենքի 19-րդ հոդվածի 1-ին մասի վերջին դրույթը («ապրանքային շուկա մուտք գործելուն խոչընդոտներ ստեղծելուն, այլ տնտեսվարող սուբյեկտի գործունեությունը սահմանափակելուն կամ խոչընդոտելուն, </w:t>
            </w:r>
            <w:r w:rsidRPr="00E55AE5">
              <w:rPr>
                <w:rFonts w:ascii="GHEA Grapalat" w:eastAsia="Times New Roman" w:hAnsi="GHEA Grapalat" w:cs="Times New Roman"/>
                <w:color w:val="273845"/>
                <w:sz w:val="24"/>
                <w:szCs w:val="24"/>
                <w:lang w:eastAsia="en-GB"/>
              </w:rPr>
              <w:lastRenderedPageBreak/>
              <w:t xml:space="preserve">կամ ապրանքային շուկայում մրցակցությունն այլ կերպ սահմանափակելուն») խնդրահարույց է, և անտեսում է մտավոր սեփականության առանձնահատկությունները: Մտավոր սեփականության բուն էությունը կայանում է այլ տնտեսավարողներին շուկայում դրանից օգտվելուց բացառելու մեջ, և ըստ էության մտավոր սեփականության պաշտպանությունը ինքն իրենով ենթադրում է խոչընդոտների ստեղծում ու գործունեության սահմանափակում: Ուստի այդպիսի նպատակ հետապնդելը ոչ միայն չի կարող որակվել որպես ամբարեխիղճ մրցակցություն, այլ հակառակը՝ միանգամայն իրավաչափ է: Մտավոր սեփականության օբյեկտների նկատմամբ իրավունքների ձեռքբերման գծով անբարեխիղճ վարքագծի ցուցաբերումը կարող է, կախված օբյեկտի տեսակից, դրսևորվել հետևյալ կերպ՝ • Արտոնագրերի մասով՝ գյուտի հեղինակությունը անօրինական յուրացնելը՝ գյուտի հեղինակությունն ամբողջությամբ յուրացնելու կամ այն մեծամասամբ ապօրինի ձեռք բերված տեղեկությունների (օրինակ՝ ապօրինի կերպ ձեռք բերված առևտրային գաղտնիք) վրա հիմնելու միջոցով: Այսինքն, միակ դեպքը, երբ արտոնագրի ձեռքբերումը անբարեխիղճ է, </w:t>
            </w:r>
            <w:r w:rsidRPr="00E55AE5">
              <w:rPr>
                <w:rFonts w:ascii="GHEA Grapalat" w:eastAsia="Times New Roman" w:hAnsi="GHEA Grapalat" w:cs="Times New Roman"/>
                <w:color w:val="273845"/>
                <w:sz w:val="24"/>
                <w:szCs w:val="24"/>
                <w:lang w:eastAsia="en-GB"/>
              </w:rPr>
              <w:lastRenderedPageBreak/>
              <w:t xml:space="preserve">դա այն դեպքն է, երբ այն գրանցվել հեղինակ չհանդիսացող անձի կողմից: Ընդ որում, այս դեպքը արդեն իսկ կարգավորված է «Գյուտերի, օգտակար մոդելների և արդյունաբերական նմուշների մասին» օրենքի 2.1 գլխով, ու լրացուցիչ կարգավորման կարիք չունի: • Ապրանքային նշանի մասով՝ այն շփոթության աստիճանի նման է այլ անձի չգրանցված ապրանքային նշանին կամ այլ անհատականացման միջոցին, և հայտատուն այդ մասին գիտեր կամ ողջամտորեն պետք է իմանար: Այս հարցը նույնպես ընդհանուր առմամբ արդեն իսկ կարգավորված է «Ապրանքային նշանների մասին» օրենքի 10-րդ հոդվածի 4-րդ մասի 3-րդ կետով, ու փաստացի լրացուցիչ կարիք ունի միայն այլ չպաշտպանվող (չգրանցված) անհատականացման միջոցների նմանակման մասով: Այլապես, մրցակցության սահմանափակումները լրացուցիչ կանխվում են մոլորեցնող ու նկարագրական նշանների գրանցման բացարձակ արգելքով: • Արդյունաբերական նմուշների մասով՝ գրանցման մերժման կամ անվավեր ճանաչման հիմք է այն, որ նմուշը նոր չէ, ինչպես նաև այն, որ այն պայմանավորված է ապրանքի տեսքը պայմանավորված է դրա տեխնիկական գործառույթով: Նշված դեպքերից զատ </w:t>
            </w:r>
            <w:r w:rsidRPr="00E55AE5">
              <w:rPr>
                <w:rFonts w:ascii="GHEA Grapalat" w:eastAsia="Times New Roman" w:hAnsi="GHEA Grapalat" w:cs="Times New Roman"/>
                <w:color w:val="273845"/>
                <w:sz w:val="24"/>
                <w:szCs w:val="24"/>
                <w:lang w:eastAsia="en-GB"/>
              </w:rPr>
              <w:lastRenderedPageBreak/>
              <w:t>փաստացի հնարավոր չէ նմուշի գրանցմամբ անբարեխիղճ սահմանափակել կամ վնասել մրցակցությունը: Այլ անհատականացման միջոցներից գրանցում (իրավունքների ձեռքբերում) փաստացի առկա է ֆիրմային անվանումների ու, որոշ վերապահումներով, դոմենների մասով: Դրանց մասով այս կարգավորումները, թերևս, կիրառման որաշակի տրամաբանություն ունեն: Սակայն գործնականում անբարեխղճությունը հիմնականում կապված օգտագործման արդյունքում մոլորեցման կամ շփոթության, այլ ոչ թե երրորդ անձանց հրանավորությունների սահմանափակման հետ, ու գործնականում առանձին կարգավորման կարիք չունի: Ուստի առաջարկվում է քննարկվող դրույթը հանել:</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A58D2E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C9F839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Քննարկվում է մրցակցային օրենսդրության խախտմամբ ձեռք բերված մտավոր սեփականության իրավունքների առումով արդյունավետ միջոցների ներդրման հարցը։</w:t>
            </w:r>
          </w:p>
        </w:tc>
      </w:tr>
      <w:tr w:rsidR="000F2FA5" w:rsidRPr="00E55AE5" w14:paraId="22E1693E"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2C296F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24</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E258C18"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417C47D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առաջարկվող խմբագրությամբ Օրենքի 20-րդ հոդվածի դրույթները որոշակի կոնֆլիկտի մեջ է մտնում քրեական օրենսգրքի 158, 159 և 197 հոդվածների հետ: Առաջանում է նորմերի մրցակցություն, որի պայմաններում պետք է կիրառվեն քրեական օրենսգրքի դրույթները: Նախագծով առաջարկվող խմբագրությամբ Օրենքի 21-րդ հոդվածի դրույթները հանդիսանում են խոսքի ազատության նկատմամբ միջամտություն։ Հաշվի առնելով </w:t>
            </w:r>
            <w:r w:rsidRPr="00E55AE5">
              <w:rPr>
                <w:rFonts w:ascii="GHEA Grapalat" w:eastAsia="Times New Roman" w:hAnsi="GHEA Grapalat" w:cs="Times New Roman"/>
                <w:color w:val="273845"/>
                <w:sz w:val="24"/>
                <w:szCs w:val="24"/>
                <w:lang w:eastAsia="en-GB"/>
              </w:rPr>
              <w:lastRenderedPageBreak/>
              <w:t xml:space="preserve">այս հարցում ձևավորված դատական պրակտիկան (այդ թվում՝ ՄԻԵԴ կողմից) և օրենսդրական մոտեցումները, առաջարկվում ենք առաջնորդվել զրպարտության համար սահմանված կանոններով: Նախագծով առաջարկվող խմբագրությամբ Օրենքի 22-րդ հոդվածի 1-ին մասի 3-րդ կետը արգելում է արարքներ, որոնց իրենց էությամբ որպես կանոն չեն պարունակում մոլորության տարրեր (բացառությամբ գովազդի ու կեղծ տվյալների նշման), ու ամեն դեպքում էապես նվազ լրջություն ունեն մոլորեցնելու այլ գործողությունների համեմատ: Այս առումով նման արարքները մրցակցային օրենսդրության խախտում որակելը չափից լուրջ միջոց է ու անհամաչափ է դրանց բնույթին ու հետևանքներին: Բացի այդ, այս արարքների համար արդեն իսկ սահմանված է հստակ պատասխանատվություն ՎԻՎՕ-ի շրջանակներում, և առկա է վերահսկող մարմին: Նախագծով առաջարկվող խմբագրությամբ Օրենքի 24-րդ հոդվածում «ոչ կոռեկտ, անպատշաճ համեմատություն» եզրույթները չափազանց անորոշ են, և հստակեցման կարիք ունեն (սահմանումների կամ Հանձնաժողովի կողմից ընդունվելիք չափորոշիչների միջոցով): Նախագծով առաջարկվող </w:t>
            </w:r>
            <w:r w:rsidRPr="00E55AE5">
              <w:rPr>
                <w:rFonts w:ascii="GHEA Grapalat" w:eastAsia="Times New Roman" w:hAnsi="GHEA Grapalat" w:cs="Times New Roman"/>
                <w:color w:val="273845"/>
                <w:sz w:val="24"/>
                <w:szCs w:val="24"/>
                <w:lang w:eastAsia="en-GB"/>
              </w:rPr>
              <w:lastRenderedPageBreak/>
              <w:t xml:space="preserve">խմբագրությամբ Օրենքի 25-րդ հոդվածի 1-ին մասի 2-րդ կետի դրույթները հակամրցակցային են որակում պայմանագրի խախտման ու լուծման վարքագիծը, ինչը ենթադրում է միջամտություն քաղաքացիաիրավական հարաբերություններ, որոնց շրջանակում կողմերից յուրաքանչյուրն իրավունք ունի լրիվ ծավալով հատուցում ստանալ կրած վնասների համար։ Այս պայմաններում անհասկանալի է պետության լրացուցիչ միջամտության անհրաժեշտությունը: Հատկապես լուծման մասով դրույքը առավել խնդրահարույց է, քանի որ սահմանափակում է իրավաչափ հիմքերով պայմանագրի լուծման հնարավորությունը: Նախագծով առաջարկվող խմբագրությամբ Օրենքի 29-րդ հոդվածի 4-րդ մասում պահպանվում է ներկայումս սահմանված կրթական ցենզը, որը գործնականում չի ապահովում Հանձնաժողովի համար առավել կարևոր՝ իրավաբանական ու տնտեսագիտական գիտելիքներով անդամների բավարար քանակություն: Տրամաբանական կլիներ ցենզը վերանայել, այն սահմանելով 2-ական քանակով: Նախագծով առաջարկվող խմբագրությամբ Օրենքի 38-րդ հոդվածի 2-րդ մասում առկա դրույթը բավականաչափ որոշակի չէ, և հստակեցման կարիք ունի, հաշվի առնելով, </w:t>
            </w:r>
            <w:r w:rsidRPr="00E55AE5">
              <w:rPr>
                <w:rFonts w:ascii="GHEA Grapalat" w:eastAsia="Times New Roman" w:hAnsi="GHEA Grapalat" w:cs="Times New Roman"/>
                <w:color w:val="273845"/>
                <w:sz w:val="24"/>
                <w:szCs w:val="24"/>
                <w:lang w:eastAsia="en-GB"/>
              </w:rPr>
              <w:lastRenderedPageBreak/>
              <w:t>որ Սահմանադրության 6-րդ հոդվածի համապատասխան նորմատիվ իրավական ակտը կարող է ընդունվել միայն ուղղակիորեն սահմանված դեպքերում:</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7DBE142" w14:textId="00947219"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Ընդունվել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գիտություն</w:t>
            </w:r>
          </w:p>
          <w:p w14:paraId="295D93FE" w14:textId="59E9D271"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ընդունվել</w:t>
            </w:r>
          </w:p>
          <w:p w14:paraId="06034A26" w14:textId="7A3B1D14"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ընդունվել</w:t>
            </w:r>
          </w:p>
          <w:p w14:paraId="4740433C" w14:textId="48D7806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Ընդունվել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գիտություն</w:t>
            </w:r>
          </w:p>
          <w:p w14:paraId="07602DD1" w14:textId="0E64C35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5</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w:t>
            </w:r>
            <w:r w:rsidRPr="00E55AE5">
              <w:rPr>
                <w:rFonts w:ascii="GHEA Grapalat" w:eastAsia="Times New Roman" w:hAnsi="GHEA Grapalat" w:cs="Times New Roman"/>
                <w:color w:val="273845"/>
                <w:sz w:val="24"/>
                <w:szCs w:val="24"/>
                <w:lang w:eastAsia="en-GB"/>
              </w:rPr>
              <w:t>նվել է ի գիտություն</w:t>
            </w:r>
          </w:p>
          <w:p w14:paraId="0FCA5650" w14:textId="4AA57EC5"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6</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lastRenderedPageBreak/>
              <w:t>ընդունվել</w:t>
            </w:r>
          </w:p>
          <w:p w14:paraId="605DF50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7</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ընդունվե</w:t>
            </w:r>
            <w:r w:rsidRPr="00E55AE5">
              <w:rPr>
                <w:rFonts w:ascii="GHEA Grapalat" w:eastAsia="Times New Roman" w:hAnsi="GHEA Grapalat" w:cs="Times New Roman"/>
                <w:color w:val="273845"/>
                <w:sz w:val="24"/>
                <w:szCs w:val="24"/>
                <w:lang w:eastAsia="en-GB"/>
              </w:rPr>
              <w:t>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F8F0A8E" w14:textId="49FD39EF"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Նախագծով</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նախատեսված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կարգավորումները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նպատակաուղղված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քննարկվող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հարաբերությունները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մրցակցության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տեսանկյունից</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գնահատելուն։</w:t>
            </w:r>
          </w:p>
          <w:p w14:paraId="7D94B5B6" w14:textId="12A47505"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Տնտեսվարող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սուբյեկտի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նրա</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գործունեության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վարկաբեկումը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կարող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նույնացվել</w:t>
            </w:r>
            <w:r w:rsidRPr="00E55AE5">
              <w:rPr>
                <w:rFonts w:ascii="GHEA Grapalat" w:eastAsia="Times New Roman" w:hAnsi="GHEA Grapalat" w:cs="Times New Roman"/>
                <w:color w:val="273845"/>
                <w:sz w:val="24"/>
                <w:szCs w:val="24"/>
                <w:lang w:eastAsia="en-GB"/>
              </w:rPr>
              <w:t xml:space="preserve"> զրպարտության հետ և գնահատման են ենթակա մրցակցության վրա ազդեցության տեսանկյունից։</w:t>
            </w:r>
          </w:p>
          <w:p w14:paraId="4D0BF5F0" w14:textId="4A2A0992"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3</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Անբարեխիղճ</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մրցակցություն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պետք</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համարել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նաև</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հասարակության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մոլորեցումը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Նախագծի</w:t>
            </w:r>
            <w:r w:rsidRPr="00E55AE5">
              <w:rPr>
                <w:rFonts w:ascii="GHEA Grapalat" w:eastAsia="Times New Roman" w:hAnsi="GHEA Grapalat" w:cs="Times New Roman"/>
                <w:color w:val="273845"/>
                <w:sz w:val="24"/>
                <w:szCs w:val="24"/>
                <w:lang w:eastAsia="en-GB"/>
              </w:rPr>
              <w:t xml:space="preserve"> 22-</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հոդվածի</w:t>
            </w:r>
            <w:r w:rsidRPr="00E55AE5">
              <w:rPr>
                <w:rFonts w:ascii="GHEA Grapalat" w:eastAsia="Times New Roman" w:hAnsi="GHEA Grapalat" w:cs="Times New Roman"/>
                <w:color w:val="273845"/>
                <w:sz w:val="24"/>
                <w:szCs w:val="24"/>
                <w:lang w:eastAsia="en-GB"/>
              </w:rPr>
              <w:t xml:space="preserve"> 1-</w:t>
            </w:r>
            <w:r w:rsidRPr="00E55AE5">
              <w:rPr>
                <w:rFonts w:ascii="GHEA Grapalat" w:eastAsia="Times New Roman" w:hAnsi="GHEA Grapalat" w:cs="GHEA Grapalat"/>
                <w:color w:val="273845"/>
                <w:sz w:val="24"/>
                <w:szCs w:val="24"/>
                <w:lang w:eastAsia="en-GB"/>
              </w:rPr>
              <w:t>ին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մասի</w:t>
            </w:r>
            <w:r w:rsidRPr="00E55AE5">
              <w:rPr>
                <w:rFonts w:ascii="GHEA Grapalat" w:eastAsia="Times New Roman" w:hAnsi="GHEA Grapalat" w:cs="Times New Roman"/>
                <w:color w:val="273845"/>
                <w:sz w:val="24"/>
                <w:szCs w:val="24"/>
                <w:lang w:eastAsia="en-GB"/>
              </w:rPr>
              <w:t xml:space="preserve"> 3-</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կետում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նկարագրված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արարքները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քանի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որ</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դրանց</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արդյունքում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ևս</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տնտես</w:t>
            </w:r>
            <w:r w:rsidRPr="00E55AE5">
              <w:rPr>
                <w:rFonts w:ascii="GHEA Grapalat" w:eastAsia="Times New Roman" w:hAnsi="GHEA Grapalat" w:cs="Times New Roman"/>
                <w:color w:val="273845"/>
                <w:sz w:val="24"/>
                <w:szCs w:val="24"/>
                <w:lang w:eastAsia="en-GB"/>
              </w:rPr>
              <w:t>վարող սուբյեկտը կարող է անհիմն առավելություններ ստանալ մրցակիցների նկատմամբ, իսկ ՎԻՎՕ-ի շրջանակներում պատասխանատվություն նախատեսված է պաշտոնատար անձի համար։</w:t>
            </w:r>
          </w:p>
          <w:p w14:paraId="5EE6C48A" w14:textId="49BE0E3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Նշված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եզրույթները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կիրառվում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նաև</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ԵԱՏՄ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մրցակցության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պաշտպանության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օրենսդրությամբ։</w:t>
            </w:r>
          </w:p>
          <w:p w14:paraId="560EBF7E" w14:textId="1B3333B6"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6</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Հանձնաժողո</w:t>
            </w:r>
            <w:r w:rsidRPr="00E55AE5">
              <w:rPr>
                <w:rFonts w:ascii="GHEA Grapalat" w:eastAsia="Times New Roman" w:hAnsi="GHEA Grapalat" w:cs="Times New Roman"/>
                <w:color w:val="273845"/>
                <w:sz w:val="24"/>
                <w:szCs w:val="24"/>
                <w:lang w:eastAsia="en-GB"/>
              </w:rPr>
              <w:t>վը գործունեությունը բազմաբովանդակ է, պահանջում է տարբեր մասնագիտացում ունեցող անդամների ներգրավվածություն: Առաջարկի շրջանակում չի մասնավորեցվել իրավաբանական ու տնտեսագիտական գիտելիքներով անդամների թվի ավելացման վերաբերյալ հիմնավորումներ:</w:t>
            </w:r>
          </w:p>
          <w:p w14:paraId="0ED52B0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7</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Նշված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հոդվածի</w:t>
            </w:r>
            <w:r w:rsidRPr="00E55AE5">
              <w:rPr>
                <w:rFonts w:ascii="GHEA Grapalat" w:eastAsia="Times New Roman" w:hAnsi="GHEA Grapalat" w:cs="Times New Roman"/>
                <w:color w:val="273845"/>
                <w:sz w:val="24"/>
                <w:szCs w:val="24"/>
                <w:lang w:eastAsia="en-GB"/>
              </w:rPr>
              <w:t xml:space="preserve"> 2-րդ մասը ուղղակիորեն նշում է Հանձնաժողովի կողմից ենթաօրենսդրական նորմատիվ </w:t>
            </w:r>
            <w:r w:rsidRPr="00E55AE5">
              <w:rPr>
                <w:rFonts w:ascii="GHEA Grapalat" w:eastAsia="Times New Roman" w:hAnsi="GHEA Grapalat" w:cs="Times New Roman"/>
                <w:color w:val="273845"/>
                <w:sz w:val="24"/>
                <w:szCs w:val="24"/>
                <w:lang w:eastAsia="en-GB"/>
              </w:rPr>
              <w:lastRenderedPageBreak/>
              <w:t>իրավական ակտ ընդունելու դեպքերը: Ընդ որում այսպիսի մեխանիզմ նախատեսված է նաև ՀՀ դատական օրենսգիրք սահմանադրական օրենքով:</w:t>
            </w:r>
          </w:p>
        </w:tc>
      </w:tr>
      <w:tr w:rsidR="000F2FA5" w:rsidRPr="00E55AE5" w14:paraId="20C0BB9A"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3C8F28F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25</w:t>
            </w:r>
          </w:p>
        </w:tc>
        <w:tc>
          <w:tcPr>
            <w:tcW w:w="2401"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5B247E53"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"ԸԴՎԱՅԶ բիզնես և իրավաբանական խորհրդատվություն" ՍՊԸ</w:t>
            </w:r>
            <w:r w:rsidRPr="00E55AE5">
              <w:rPr>
                <w:rFonts w:ascii="RobotoSlab-regular" w:eastAsia="Times New Roman" w:hAnsi="RobotoSlab-regular" w:cs="Times New Roman"/>
                <w:color w:val="4B5C6A"/>
                <w:sz w:val="21"/>
                <w:szCs w:val="21"/>
                <w:bdr w:val="none" w:sz="0" w:space="0" w:color="auto" w:frame="1"/>
                <w:lang w:eastAsia="en-GB"/>
              </w:rPr>
              <w:t>04.06.2020 14:38:38</w:t>
            </w:r>
          </w:p>
        </w:tc>
        <w:tc>
          <w:tcPr>
            <w:tcW w:w="516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220F1F2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առաջարկվող խմբագրությամբ Օրենքի 51-րդ հոդվածի մասով անհասկանալի է, թե ինչու է հանվում որոշումները պաշտոնական կայքում հրապարակելու մասին դրույթը։ Այն մեծ կարոևորություն ունի տնտեսվարողներին համար իրենց վարքագիծը որոշելու համար: Նախագծով առաջարկվող խմբագրությամբ Օրենքի 66-րդ հոդվածի 2-րդ մասը չափազանց լայն արգելք է սահմանում համակենտրոնացումների մասով: Այսպես, միջազգային պրակտիկայում շուկային մասնաբաժինների հետ զուգահեռ ընդունված մոտեցումների համաձայն (HHI index, market concentration ratios) որոշ դեպքերում գերիշխող դիրք առաջացնող համակենտրոնացումը կարող է բարենպաստ լինել տնտեսական համար, օրինակ, եթե ստեղծում է շուկայում արդեն առկա գերիշխող սուբյեկտի համար ավելի ուժեղ մրցակից: Ամեն դեպքում, քննարկվող դրույթի կիրառումը չափազանց խնդրահարույց է այն դեպքերում, երբ համակենտրոնացման մասնակիցները իրենց ամբողջ արտադրանքը կամ </w:t>
            </w:r>
            <w:r w:rsidRPr="00E55AE5">
              <w:rPr>
                <w:rFonts w:ascii="GHEA Grapalat" w:eastAsia="Times New Roman" w:hAnsi="GHEA Grapalat" w:cs="Times New Roman"/>
                <w:color w:val="273845"/>
                <w:sz w:val="24"/>
                <w:szCs w:val="24"/>
                <w:lang w:eastAsia="en-GB"/>
              </w:rPr>
              <w:lastRenderedPageBreak/>
              <w:t xml:space="preserve">ծառայությունների արտահանում են, որի դեպքում համակենտրոնացումը ՀՀ տնտեսության համար ունի հիմնականում դրական ազդեցություն (տեղական տնտեսվարոների միջազգային մրցունակության բարձրացում)՝ չունենալով որևէ էական հակամրցակցային ազդեցություն Հայաստանում: Նախագծով առաջարկվող խմբագրությամբ Օրենքի 84-րդ հոդվածի 2-րդ մասի շարադրանքը անորոշություն է ստեղծում առ այն, արդյո՞ք արագացված վարույթ կիրառելու մասին միջնորդություն ներկայացնելով անձը զրկվում է դատական պաշտպանություն հայցելու իրավունքից։ Եթե այո, ապա սա դատական պաշտպանության իրավունքի անընդունելի սահմանափակում կարող է հանդիսանալ: Կապված նախագծի անցումային դրույթների հետ, խիստ խնդրահարույց է դրա՝ հրապարակումից հետո 10-օրյա ժամկետում ուժի մեջ մտնելը: «Նորմատիվ իրավական ակտերի մասին» ՀՀ օրենքի 23-րդ հոդվածի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w:t>
            </w:r>
            <w:r w:rsidRPr="00E55AE5">
              <w:rPr>
                <w:rFonts w:ascii="GHEA Grapalat" w:eastAsia="Times New Roman" w:hAnsi="GHEA Grapalat" w:cs="Times New Roman"/>
                <w:color w:val="273845"/>
                <w:sz w:val="24"/>
                <w:szCs w:val="24"/>
                <w:lang w:eastAsia="en-GB"/>
              </w:rPr>
              <w:lastRenderedPageBreak/>
              <w:t>անհրաժեշտ է հիմնավոր ժամանակահատված, որը հնարավորություն կտա հասցեատիրոջը իր վարքագիծը համապատասխանեցնելու սահմանված պահանջներին։ Նախագծով առաջարկվող մրցակցության նոր կանոնները չեն կարող տնտեսվարողների կողմից անհապաղ ընդունվել կամ կիրառվել, հետևաբար առաջարկում ենք սահմանել ողջամիտ ժամկետ որպեսզի տնտեսվարողները կարողանան պատրաստվել նոր կանոնների կիրառմանը։</w:t>
            </w:r>
          </w:p>
        </w:tc>
        <w:tc>
          <w:tcPr>
            <w:tcW w:w="192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3929FAD2" w14:textId="165392A7"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 Չի ընդունվել</w:t>
            </w:r>
          </w:p>
          <w:p w14:paraId="1A882F38" w14:textId="1F2DD9BA"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 Չի ընդունվել</w:t>
            </w:r>
          </w:p>
          <w:p w14:paraId="7588448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 Չի ընդունվել</w:t>
            </w:r>
          </w:p>
        </w:tc>
        <w:tc>
          <w:tcPr>
            <w:tcW w:w="431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7B97F9B" w14:textId="3D066BDE"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Որոշումները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պաշտոնական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կայքում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հրապարակելու</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մասին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դրույթը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նախատեվա</w:t>
            </w:r>
            <w:r w:rsidRPr="00E55AE5">
              <w:rPr>
                <w:rFonts w:ascii="GHEA Grapalat" w:eastAsia="Times New Roman" w:hAnsi="GHEA Grapalat" w:cs="Times New Roman"/>
                <w:color w:val="273845"/>
                <w:sz w:val="24"/>
                <w:szCs w:val="24"/>
                <w:lang w:eastAsia="en-GB"/>
              </w:rPr>
              <w:t>ծ է Նախագծի 48-րդ հոդվածի 11-րդ մասով։</w:t>
            </w:r>
          </w:p>
          <w:p w14:paraId="72611654" w14:textId="3A64FF70" w:rsidR="000F2FA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Նախագծի</w:t>
            </w:r>
            <w:r w:rsidRPr="00E55AE5">
              <w:rPr>
                <w:rFonts w:ascii="GHEA Grapalat" w:eastAsia="Times New Roman" w:hAnsi="GHEA Grapalat" w:cs="Times New Roman"/>
                <w:color w:val="273845"/>
                <w:sz w:val="24"/>
                <w:szCs w:val="24"/>
                <w:lang w:eastAsia="en-GB"/>
              </w:rPr>
              <w:t xml:space="preserve"> 68-</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հոդվածի</w:t>
            </w:r>
            <w:r w:rsidRPr="00E55AE5">
              <w:rPr>
                <w:rFonts w:ascii="GHEA Grapalat" w:eastAsia="Times New Roman" w:hAnsi="GHEA Grapalat" w:cs="Times New Roman"/>
                <w:color w:val="273845"/>
                <w:sz w:val="24"/>
                <w:szCs w:val="24"/>
                <w:lang w:eastAsia="en-GB"/>
              </w:rPr>
              <w:t xml:space="preserve"> 2-</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մասի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համաձայն՝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Սույն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օրենքի</w:t>
            </w:r>
            <w:r w:rsidRPr="00E55AE5">
              <w:rPr>
                <w:rFonts w:ascii="GHEA Grapalat" w:eastAsia="Times New Roman" w:hAnsi="GHEA Grapalat" w:cs="Times New Roman"/>
                <w:color w:val="273845"/>
                <w:sz w:val="24"/>
                <w:szCs w:val="24"/>
                <w:lang w:eastAsia="en-GB"/>
              </w:rPr>
              <w:t xml:space="preserve"> 66-</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հոդվածի</w:t>
            </w:r>
            <w:r w:rsidRPr="00E55AE5">
              <w:rPr>
                <w:rFonts w:ascii="GHEA Grapalat" w:eastAsia="Times New Roman" w:hAnsi="GHEA Grapalat" w:cs="Times New Roman"/>
                <w:color w:val="273845"/>
                <w:sz w:val="24"/>
                <w:szCs w:val="24"/>
                <w:lang w:eastAsia="en-GB"/>
              </w:rPr>
              <w:t xml:space="preserve"> 1-</w:t>
            </w:r>
            <w:r w:rsidRPr="00E55AE5">
              <w:rPr>
                <w:rFonts w:ascii="GHEA Grapalat" w:eastAsia="Times New Roman" w:hAnsi="GHEA Grapalat" w:cs="GHEA Grapalat"/>
                <w:color w:val="273845"/>
                <w:sz w:val="24"/>
                <w:szCs w:val="24"/>
                <w:lang w:eastAsia="en-GB"/>
              </w:rPr>
              <w:t>ին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մասի</w:t>
            </w:r>
            <w:r w:rsidRPr="00E55AE5">
              <w:rPr>
                <w:rFonts w:ascii="GHEA Grapalat" w:eastAsia="Times New Roman" w:hAnsi="GHEA Grapalat" w:cs="Times New Roman"/>
                <w:color w:val="273845"/>
                <w:sz w:val="24"/>
                <w:szCs w:val="24"/>
                <w:lang w:eastAsia="en-GB"/>
              </w:rPr>
              <w:t xml:space="preserve"> 2-5-</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կետերում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նախատեսված</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հիմքերի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առկայության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դեպքում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Հանձնաժողովը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հայտարարագրման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ենթակա</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համակենտրոնացումը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թույլ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է</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տալիս</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այն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w:t>
            </w:r>
            <w:r w:rsidRPr="00E55AE5">
              <w:rPr>
                <w:rFonts w:ascii="GHEA Grapalat" w:eastAsia="Times New Roman" w:hAnsi="GHEA Grapalat" w:cs="Times New Roman"/>
                <w:color w:val="273845"/>
                <w:sz w:val="24"/>
                <w:szCs w:val="24"/>
                <w:lang w:eastAsia="en-GB"/>
              </w:rPr>
              <w:t>եպքում, երբ տնտեսվարող սուբյեկտն ապացուցում է, որ տվյալ համակենտրոնացման արդյունքով ապրանքային շուկայում կապահովվեն բարենպաստ մրցակցային պայմաններ և չեն վնասվի սպառողների շահերը:</w:t>
            </w:r>
          </w:p>
          <w:p w14:paraId="11A2772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Քննարկվող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նորմը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չի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պարունակում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դատական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պաշտպանություն</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հայցելու</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իրավունքից</w:t>
            </w:r>
            <w:r w:rsidRPr="00E55AE5">
              <w:rPr>
                <w:rFonts w:ascii="GHEA Grapalat" w:eastAsia="Times New Roman" w:hAnsi="GHEA Grapalat" w:cs="Times New Roman"/>
                <w:color w:val="273845"/>
                <w:sz w:val="24"/>
                <w:szCs w:val="24"/>
                <w:lang w:eastAsia="en-GB"/>
              </w:rPr>
              <w:t xml:space="preserve"> զրկելու վերաբերյալ կարգավորում:</w:t>
            </w:r>
          </w:p>
        </w:tc>
      </w:tr>
    </w:tbl>
    <w:p w14:paraId="1CE9C688" w14:textId="77777777" w:rsidR="000F2FA5" w:rsidRDefault="000F2FA5" w:rsidP="000F2FA5"/>
    <w:p w14:paraId="4F72231A" w14:textId="77777777" w:rsidR="000F2FA5" w:rsidRDefault="000F2FA5" w:rsidP="000F2FA5"/>
    <w:tbl>
      <w:tblPr>
        <w:tblW w:w="14793" w:type="dxa"/>
        <w:tblInd w:w="-551" w:type="dxa"/>
        <w:shd w:val="clear" w:color="auto" w:fill="FFFFFF"/>
        <w:tblLayout w:type="fixed"/>
        <w:tblCellMar>
          <w:left w:w="0" w:type="dxa"/>
          <w:right w:w="0" w:type="dxa"/>
        </w:tblCellMar>
        <w:tblLook w:val="04A0" w:firstRow="1" w:lastRow="0" w:firstColumn="1" w:lastColumn="0" w:noHBand="0" w:noVBand="1"/>
      </w:tblPr>
      <w:tblGrid>
        <w:gridCol w:w="1002"/>
        <w:gridCol w:w="2544"/>
        <w:gridCol w:w="5032"/>
        <w:gridCol w:w="1918"/>
        <w:gridCol w:w="4297"/>
      </w:tblGrid>
      <w:tr w:rsidR="000F2FA5" w:rsidRPr="00E55AE5" w14:paraId="649492AD" w14:textId="77777777" w:rsidTr="000F2FA5">
        <w:tc>
          <w:tcPr>
            <w:tcW w:w="1002" w:type="dxa"/>
            <w:tcBorders>
              <w:top w:val="nil"/>
              <w:left w:val="nil"/>
              <w:right w:val="nil"/>
            </w:tcBorders>
            <w:shd w:val="clear" w:color="auto" w:fill="D2D4E1"/>
            <w:tcMar>
              <w:top w:w="225" w:type="dxa"/>
              <w:left w:w="300" w:type="dxa"/>
              <w:bottom w:w="225" w:type="dxa"/>
              <w:right w:w="300" w:type="dxa"/>
            </w:tcMar>
            <w:hideMark/>
          </w:tcPr>
          <w:p w14:paraId="68B97229"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h/h</w:t>
            </w:r>
          </w:p>
        </w:tc>
        <w:tc>
          <w:tcPr>
            <w:tcW w:w="2544"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2D5D874E"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Առաջարկության հեղինակը, ստացման ամսաթիվը</w:t>
            </w:r>
          </w:p>
        </w:tc>
        <w:tc>
          <w:tcPr>
            <w:tcW w:w="5032"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781C9133"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Առաջարկության բովանդակությունը</w:t>
            </w:r>
          </w:p>
        </w:tc>
        <w:tc>
          <w:tcPr>
            <w:tcW w:w="1918"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7AFB57DF"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Եզրակացություն</w:t>
            </w:r>
          </w:p>
        </w:tc>
        <w:tc>
          <w:tcPr>
            <w:tcW w:w="4297"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1766FA14"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Կատարված փոփոխությունը</w:t>
            </w:r>
          </w:p>
        </w:tc>
      </w:tr>
      <w:tr w:rsidR="000F2FA5" w:rsidRPr="00E55AE5" w14:paraId="75F7FB87"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32CBE6A4"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p>
        </w:tc>
        <w:tc>
          <w:tcPr>
            <w:tcW w:w="2544"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35BFBB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w:t>
            </w:r>
          </w:p>
        </w:tc>
        <w:tc>
          <w:tcPr>
            <w:tcW w:w="503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AD4890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p>
        </w:tc>
        <w:tc>
          <w:tcPr>
            <w:tcW w:w="1918"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6999A7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p>
        </w:tc>
        <w:tc>
          <w:tcPr>
            <w:tcW w:w="4297"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DC6FD8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w:t>
            </w:r>
          </w:p>
        </w:tc>
      </w:tr>
      <w:tr w:rsidR="000F2FA5" w:rsidRPr="00E55AE5" w14:paraId="4B9B0D7C"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57956B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AFF8676"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Մտավոր սեփականության իրավատերերի ակումբ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17:12:01</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7D6459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Իրավական դրքորոշում «Տնտեսական մրցակցության պաշտպանության մասին» Հայաստանի Հանրապետության օրենքում փոփոխություն կատարելու մասին» Հայաստանի Հանրապետության օրենքի և հարակից օրենքների նախագծերի վերաբերյալ &lt;&lt;Մտավոր սեփականության </w:t>
            </w:r>
            <w:r w:rsidRPr="00E55AE5">
              <w:rPr>
                <w:rFonts w:ascii="GHEA Grapalat" w:eastAsia="Times New Roman" w:hAnsi="GHEA Grapalat" w:cs="Times New Roman"/>
                <w:color w:val="273845"/>
                <w:sz w:val="24"/>
                <w:szCs w:val="24"/>
                <w:lang w:eastAsia="en-GB"/>
              </w:rPr>
              <w:lastRenderedPageBreak/>
              <w:t xml:space="preserve">իրավատերերի ակումբ&gt;&gt; իրավապաշտպան հասարակական կազմակերպությունում վերը նշված նախագծերը ուսումնասիրվել են մտավոր սեփականության ոլորտը կարգավորող օրեսդրության և միջազգային պարտավորությունների տեսանկունից։ Անչափ կարևորում ենք տնտեսական մրցակցության պաշտպանության կոնտեքստում կեղծարարության և կեղծ ապրանքների շրջանառության դեմ արդյունավետ պայքարի իրականացումը, բայց մաժամանակ գտնում ենք, որ այն պետք է իրականացվի պետական համապատասխան կառույցին հատուկ գործիքակազմի միջոցով և լիազորությունների շրջանակում, առանց կրկնօրինակելու կամ ձեռք բերելու իրավապահ մարմիններին բնորոշ գործառույթներ և առավել ևս միջամտելու արդարադատության իրականացմանը ։ Այսպես՝ վերը նախագծի 18-րդ հոդվածում առկա են դրույթներ, որոնք հակասում են ՀՀ Սահմանադրության 162-րդ հոդվածին, ՄԻԵԿ-ի /&lt;&lt;Մարդու իրավունքների և հիմնարար ազատությունների պաշտպանության մասին&gt;&gt; եվրոպական կոնվենցիայի 1-ին արձանագրության 1-ին հոդվածի/ դրույթներին և Վճռաբեկ դատարանի վարչական գործ թիվ </w:t>
            </w:r>
            <w:r w:rsidRPr="00E55AE5">
              <w:rPr>
                <w:rFonts w:ascii="GHEA Grapalat" w:eastAsia="Times New Roman" w:hAnsi="GHEA Grapalat" w:cs="Times New Roman"/>
                <w:color w:val="273845"/>
                <w:sz w:val="24"/>
                <w:szCs w:val="24"/>
                <w:lang w:eastAsia="en-GB"/>
              </w:rPr>
              <w:lastRenderedPageBreak/>
              <w:t xml:space="preserve">ՎԴ/4241/05/11 և քաղաքացիական գործ թիվ 3-1462/ՏԴ որոշումներում ամրագրված մտավոր սեփականության ոլորտի համար կարևոր կարգավորումներին։ Շփոթության աստիճանի նմանությանը վերաբերող հարցերը իրավակիրառ պրակտիկայում բազմաթիվ խնդիրներ են առաջացնում հաշվի առնելով, որ անհրաժեշտ է իրականացնել մասնագիտական /փորձագիտական/ գիտելիքների հիման վրա օբյեկտիվ և սուբյեկտիվ տարրերի խորը հետազոտություն, որը ժամանակատար է և նման դեպքերում հանձնաժողովը պետք է զերծ մնա մակերևույթային գնահատակններից և հիմնվի որոշում կայացնելիս փորձագիտական ուսումնասիրության և եզրակացության վրա։ Գրանցված ապրանքային նշանների դեպքում այս կարգավորումը առնչվում է վարչական ակտի հավաստիության կանխավարկածի հետ, քանի որ այն պայմանավորված է մեկ այլ պետական լիազոր մարմնի կողմից կայացված վարչական ակտի հետ, որին տնտեսվարողը վստահում է։ Արդարացված չէ նաև պետական կառավարման համակարգում նույնաբովանդակ որոշում /շփոթության աստիճանի նմանություն/ կայացնելու լիազորությամբ օժտել երկու տարբեր կառույցների՝ Էկոնոմիկայի </w:t>
            </w:r>
            <w:r w:rsidRPr="00E55AE5">
              <w:rPr>
                <w:rFonts w:ascii="GHEA Grapalat" w:eastAsia="Times New Roman" w:hAnsi="GHEA Grapalat" w:cs="Times New Roman"/>
                <w:color w:val="273845"/>
                <w:sz w:val="24"/>
                <w:szCs w:val="24"/>
                <w:lang w:eastAsia="en-GB"/>
              </w:rPr>
              <w:lastRenderedPageBreak/>
              <w:t xml:space="preserve">նախարարության մտավոր սեփականության գործակալությանը և հանձնաժողովին։ Նախագծի 19-րդ հոդվածում առկա են դրույթներ, որոնք ուղղակի հակասության մեջ են մտնում մտավոր սեփականության իրավունքի հիմնարար սկզբունքների և բնական մենաշնորհի հետ, քանի որ մտավոր սեփականության պաշտպանությունը պայմանավորված բացառիկ իրավունքներով ենթադրում է այլ տնտսվարողների համար խոչընդոտների ստեղծում։ Խնդրահարույց է նաև Սահմանադրականության տեսանկյունից վերը նշված հոդվածում անբարեխիղճ մրցակցության առկայության վերաբերյալ Հանձնաժողովի որոշումամբ իրավասու մարմնի համար քաղաքացիական շրջանառության մասնակցի, ապրանքների, աշխատանքների կամ ծառայությունների անհատականացման միջոցին իրավական պահպանության տրամադրումն անվավեր ճանաչելու դրույթը։ Մտավոր սեփականության օբյեկտի գրանցումը կարող է անվավեր ճանաչվել միայն դատարանի որոշմամբ: Նույնը վերաբերվում է հոդված 38-ի 4-րդ կետով սահմանված հանձնաժողովի լիազորությանը։ Վերը նշված բոլոր հիմնավորումները վերաբերվում են նաև </w:t>
            </w:r>
            <w:r w:rsidRPr="00E55AE5">
              <w:rPr>
                <w:rFonts w:ascii="GHEA Grapalat" w:eastAsia="Times New Roman" w:hAnsi="GHEA Grapalat" w:cs="Times New Roman"/>
                <w:color w:val="273845"/>
                <w:sz w:val="24"/>
                <w:szCs w:val="24"/>
                <w:lang w:eastAsia="en-GB"/>
              </w:rPr>
              <w:lastRenderedPageBreak/>
              <w:t xml:space="preserve">&lt;&lt;Ապրանքային նշանների մասին&gt;&gt; ՀՀ օրենքի նախագծի փոփոխությանը, այն ամբողջությամբ չի բխում մտավոր սափականության իրավունք ունեցող բազմաթիվ իրավատերերի շահերից։ Կարևորելով կեղծարարության դեպ պայքարի անհրաժեշտությունը առաջարկում ենք Հեդված 20-ը ձևակերպել հետևյալ կերպ՝ Հոդված 20. Անբարեխիղճ մրցակցությունը` կապված մտավոր գործունեության արդյունքների ապօրինի օգտագործման հետ Անբարեխիղճ մրցակցություն է համարվում տնտեսվարող սուբյեկտի կողմից մտավոր սեփականության օբյեկտն ապօրինի (առանց դրա իրավատիրոջ թույլտվության) օգտագործելը, ինչպես նաև իրացնելու նպատակով կեղծ կամ նմանակված ապրանքներ ձեռք բերելը, պահելը, փոխադրելը, առաքելը կամ այլ ձևով քաղաքացիական շրջանառության մեջ մտցնելը։ Առաջարկվող ձևակերպումը ավելի հստակ է նախ, որ դիսպոզիցիայում բովանդակային կրկնողություն չկա, այսինքն ապրանք արտադրելը, վաճառը կամ վաճառքի առաջարկը արդեն ներառված է մտավոր սեփականության օբյեկտի օգտագործում հասկացության մեջ և ավելորդ անգամ նշել պետք չէ։ Հայաստանը միակ երկիրն է որտեղ կեղծ </w:t>
            </w:r>
            <w:r w:rsidRPr="00E55AE5">
              <w:rPr>
                <w:rFonts w:ascii="GHEA Grapalat" w:eastAsia="Times New Roman" w:hAnsi="GHEA Grapalat" w:cs="Times New Roman"/>
                <w:color w:val="273845"/>
                <w:sz w:val="24"/>
                <w:szCs w:val="24"/>
                <w:lang w:eastAsia="en-GB"/>
              </w:rPr>
              <w:lastRenderedPageBreak/>
              <w:t>ապրանքների շրջանառության համար կարգավորումներ չկան և կեղծված ապրանքներ ձեռք բերելը, պահելը, փոխադրելը, առաքելը որը նույնպես կհամարվի անբարեխիղճ մրցակցություն էապես կնպաստի պայքարին։ Եվ վերջապես առաջարկվող կարգավորմամբ իրավատերը հնարավորություն կունենա առանց քրեա-իրավական և քաղաքացիա-իրվական ընթացակարգով դատարան դիմելու պաշտպանել իր խախտված իրավունքները։</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23995B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630723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20-րդ հոդվածը խմբագրվել է։</w:t>
            </w:r>
          </w:p>
        </w:tc>
      </w:tr>
      <w:tr w:rsidR="000F2FA5" w:rsidRPr="00E55AE5" w14:paraId="109575AA"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66135E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A5D88F4"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19:59:14</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15BCEA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1-ին հոդվածի համաձայն առանձնացվում են օրենքի հետևյալ նպատակները՝ • պաշտպանել և խրախուսել տնտեսական գործունեության ազատությունը, ազատ տնտեսական մրցակցությունը, • ապահովել բարեխիղճ մրցակցության համար անհրաժեշտ միջավայր, • նպաստել ձեռնարկատիրության զարգացմանը և սպառողների շահերի պաշտպանությանը Հայաստանի Հանրապետությունում։ Օրենքի նպատակների շարքում թվարկվում է նաև սպառողների շահերի պաշտպանությանը նպաստելը, ինչը ենթադրում է, որ օրենքը ոչ թե ուղղակիորեն միտված է սպառողների շահերի պաշտպանությանը, այլ օրենքով </w:t>
            </w:r>
            <w:r w:rsidRPr="00E55AE5">
              <w:rPr>
                <w:rFonts w:ascii="GHEA Grapalat" w:eastAsia="Times New Roman" w:hAnsi="GHEA Grapalat" w:cs="Times New Roman"/>
                <w:color w:val="273845"/>
                <w:sz w:val="24"/>
                <w:szCs w:val="24"/>
                <w:lang w:eastAsia="en-GB"/>
              </w:rPr>
              <w:lastRenderedPageBreak/>
              <w:t xml:space="preserve">սահմանված գործիքակազմն իրացնելով լիազոր մարմինը նպաստում է նաև սպառողների շահերի պաշտպանությանը, սակայն չի իրականացնում նման ուղղակի գործառույթ։ Միաժամանակ, նախագծի 2-րդ հոդվածի 1-ին մասում որպես օրենքի կարգավորման առարկա առանձնացվում է սպառողների շահերի պաշտպանությունը պետական մարմինների կամ տնտեսվարող սուբյեկտների և դրանց պաշտոնատար անձանց հակամրցակցային վարքագծից։ Բացի այդ, տնտեսական մրցակցության պաշտպանության մարմինը վերանվանվում է Մրցակցության և սպառողների շահերի պաշտպանության հանձնաժողով , որը Նախագծի 28-րդ հոդվածի 1-ին մասի համաձայն, ի շարս այլնի, իրականացնելու է նաև սպառողների շահերի պաշտպանությունը։ Վերոշարադրյալի արդյունքում առաջանում է իրավական խզում օրենքի նպատակի և դրա առարկայի ու Հանձնաժողովի կարգավիճակի միջև այն առումով, որ օրենքի կարգավորման առարկան և Հանձնաժողովի իրավական կարգավիճակը շեղվում են օրենքի նպատակից։ Մասնավորապես, եթե օրենքի նպատակը սպառողների շահերի պաշտպանությանը նպաստելն է, այլ ոչ թե </w:t>
            </w:r>
            <w:r w:rsidRPr="00E55AE5">
              <w:rPr>
                <w:rFonts w:ascii="GHEA Grapalat" w:eastAsia="Times New Roman" w:hAnsi="GHEA Grapalat" w:cs="Times New Roman"/>
                <w:color w:val="273845"/>
                <w:sz w:val="24"/>
                <w:szCs w:val="24"/>
                <w:lang w:eastAsia="en-GB"/>
              </w:rPr>
              <w:lastRenderedPageBreak/>
              <w:t xml:space="preserve">սպառողների շահերի պաշտպանությունը, ապա օրենքի կարգավորման առարկան և օրենքը կիրարկող լիազոր մարմնի կարգավիճակը պետք է համապատասխանեն օրենքի նպատակին։ Միաժամանակ, եթե Հանձնաժողովը վերածվելու է նաև սպառողների շահերի պաշտպանության մարմնի, ապա հարց է առաջանում, թե արդյո՞ք Հանձնաժողովին վերապահվող գործիքակազմը բավարար է այդ նպատակին հասնելու համար և արդյո՞ք Հանձնաժողովի այս գործառույթը շփոթություն չի առաջացնի պետական մարմինների գործառութային համալիրի իրացման համատեքստում։ Խնդիրը կայանում է նրանում, որ Հանձնաժողովը սպառողների շահերը պաշտպանելու է Նախագծով սահմանված իրավախախտումների շրջանակներում՝ հակամրցակցային համաձայնություն, գերիշխող դիրքի չարաշահում, արգելված համակենտրոնացումներ, անբարեխիղճ մրցակցություն և այլն, այնինչ սպառողների շահերի պաշտպանությունը չի կարող սահմանափակվել միայն Նախագծով թվարկված վարքագծով և ընդգրկում է բավականին լայն շրջանակ։ Բացի այդ, Հանձնաժողովի անվանումը և Նախագծի 28-րդ հոդվածով վերջինիս վերապահված գործառույթը սպառողների </w:t>
            </w:r>
            <w:r w:rsidRPr="00E55AE5">
              <w:rPr>
                <w:rFonts w:ascii="GHEA Grapalat" w:eastAsia="Times New Roman" w:hAnsi="GHEA Grapalat" w:cs="Times New Roman"/>
                <w:color w:val="273845"/>
                <w:sz w:val="24"/>
                <w:szCs w:val="24"/>
                <w:lang w:eastAsia="en-GB"/>
              </w:rPr>
              <w:lastRenderedPageBreak/>
              <w:t xml:space="preserve">շրջանում կարող է առաջացնել այն թյուր ընկալումը, որ Հանձնաժողովը սպառողների պաշտպանության ունիվերսալ մարմին է, այնինչ իրականում այդպես չէ։ Կան սպառողների շահերի պաշտպանության այլ մարմիններ ևս, որոնք այս կամ այն ասպեկտով իրականացնում են սպառողների իրավունքների պաշտպանությունը, օրինակ՝ Շուկայի վերահսկողության տեսչական մարմինը, Առողջապահական և աշխատանքի տեսչական մարմինը, ինչ որ առումով նաև Ֆինանսական համակարգի հաշտարարը ևս իրականացնում են սպառողների շահերի պաշտպանության գործառույթներ։ Նշված խնդիրը լուծելու նպատակով անհրաժեշտ է կամ վերաձևակերպել օրենքի նպատակը և որոշակիացնել սպառողների շահերի պաշտպանության Հանձնաժողովի գործառույթները կամ հրաժարվել սպառողների շահերի պաշտպանության ուղղակի գործառույթից։ Հարկ է նշել նաև, որ նախագծերի փաթեթի ընդունման անհրաժեշտության հիմնավորումը չի պարունակում դրույթներ Հանձնաժողովին սպառողների շահերի պաշտպանության գործառույթը վերապահելու անհրաժեշտության մասին, ինչը հնարավորություն կտար ամբողջական </w:t>
            </w:r>
            <w:r w:rsidRPr="00E55AE5">
              <w:rPr>
                <w:rFonts w:ascii="GHEA Grapalat" w:eastAsia="Times New Roman" w:hAnsi="GHEA Grapalat" w:cs="Times New Roman"/>
                <w:color w:val="273845"/>
                <w:sz w:val="24"/>
                <w:szCs w:val="24"/>
                <w:lang w:eastAsia="en-GB"/>
              </w:rPr>
              <w:lastRenderedPageBreak/>
              <w:t>պատկերացում կազմել Նախագծի հեղինակների մտադրության մասին։</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A13F0F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A0F860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Նախագծով նախատեսված օրենքի կարգավորման առարկան ընդգրկում է սպառողների շահերի պաշտպանությունը այնքանով, որքանով դրանք վնասվում կամ կարող են վնասվել հակամրցակցային գործողությունների (այդ թվում՝ անբարեխիղճ մրցակցության) արդյունքում: Այդ մասին է վկայում նաև Հանձնաժողովին այս ոլորտում տրված լիազորությունների շրջանակի ուսումնասիորթյունը:</w:t>
            </w:r>
          </w:p>
        </w:tc>
      </w:tr>
      <w:tr w:rsidR="000F2FA5" w:rsidRPr="00E55AE5" w14:paraId="62AC667D"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0CFBA4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3</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C2AD0A6"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1933E6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2-րդ հոդվածի 2-րդ մասով օրենքին տրվել է էքստերիտորիալ գործողություն, ինչը նշանակում է, որ օրենքը տարածվելու է այլ պետության տարածքում տնտեսվարող սուբյեկտների այն գործողությունների վրա, որոնք հետևանքներ են առաջացրել Հայաստանի Հանրապետությունում։ Նախագծով տրված «տնտեսվարող սուբյեկտ» հասկացությունից պարզ է դառնում, որ այն ընդգրկում է ինչպես ՀՀ ռեզիդենտ, այնպես էլ ոչ ռեզիդենտ կազմակերպություններին։ Դրա մասին են վկայում նաև Նախագծի 14-րդ հոդվածով նախատեսված իրավակարգավորումները։ Արդյունքում ստացվում է, որ օրենքը տարածվելու է օտարերկրյա տնտեսվարող սուբյեկտների վարքագծի վրա, եթե դա Հայաստանի Հանրապետությունում կառաջացնի փաստական հետևանքներ կամ ստեղծի նման հնարավորություն։ Օրենքի էքստերիտորիալ գործողությունը ենթադրում է նաև Հանձնաժողովի իրավասությունների էքստերիտորիալ իրացում, քանի որ ակնհայտ է, որ այլ պետության մրցակցային մարմինը չի կարող կիրառել ՀՀ օրենքը։ Արդյունքում, </w:t>
            </w:r>
            <w:r w:rsidRPr="00E55AE5">
              <w:rPr>
                <w:rFonts w:ascii="GHEA Grapalat" w:eastAsia="Times New Roman" w:hAnsi="GHEA Grapalat" w:cs="Times New Roman"/>
                <w:color w:val="273845"/>
                <w:sz w:val="24"/>
                <w:szCs w:val="24"/>
                <w:lang w:eastAsia="en-GB"/>
              </w:rPr>
              <w:lastRenderedPageBreak/>
              <w:t>հարց է առաջանում, թե ինչպե՞ս են իրացվելու օրենքի էքստերիտորիալ գործողությունը և Հանձնաժողովի լիազորությունները, քանի որ օտարերկրյա բազմաթիվ կազմակերպությունների վարքագիծը կարող է Հայաստանի Հանրապետությունում առնվազն սպառողների շահերի վրա անդրադառնալ։ Օրինակ, արտասահմանյան մատակարարները կարող են որոշել, որ ՀՀ տնտեսվարող սուբյեկտներին այլևս ապրանք չեն մատակարարելու կամ ebay, amazon կայքերը կարող են որոշել, որ ՀՀ ապրանքների վաճառքը պետք է սահմանափակել կամ Նախագծի 14-րդ հոդվածի 1-ին մասի 6-րդ մասով սահմանված համակենտրոնացումը կարող է ազդել ՀՀ-ում մրցակցային իրավիճակի վրա։ Գտնում ենք, որ օրենքի էքստերիտորիալ գործողությունը չի կարող կրել նման բացարձակ բնույթ և անհրաժեշտ է սահմանել այն դեպքերը, երբ օրենքը կարող է կիրառվել, ինչպես նաև հստակ գործիքակազմը և ընթացակարգը։</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8CCF36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9A3241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Օրենքը չի կարող չկարգավորել Հայաստանի Հանրապետության մրցակցային միջավայրի վրա ազդեցություն ունեցող գործողությունները՝ թեկուզև դրանք տեղի են ունենում Հայաստանի Հանրապետության տարածքից դուրս, իսկ Հանձնաժողովի որոշումների Հայաստանի Հանրապետության տարածքից դուրս կատարման հարցը միջազգային իրավական փաստաթղթերով կարգավորման ենթակա հարց է։</w:t>
            </w:r>
          </w:p>
        </w:tc>
      </w:tr>
      <w:tr w:rsidR="000F2FA5" w:rsidRPr="00E55AE5" w14:paraId="13535641"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AE4A4F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4</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099BCF4"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4F27D9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6-րդ հոդվածի 1-ին մասը հակամրցակցային համաձայնություններ է որակում այնպիսի գործողությունները (գործարքները), վարքագիծը կամ </w:t>
            </w:r>
            <w:r w:rsidRPr="00E55AE5">
              <w:rPr>
                <w:rFonts w:ascii="GHEA Grapalat" w:eastAsia="Times New Roman" w:hAnsi="GHEA Grapalat" w:cs="Times New Roman"/>
                <w:color w:val="273845"/>
                <w:sz w:val="24"/>
                <w:szCs w:val="24"/>
                <w:lang w:eastAsia="en-GB"/>
              </w:rPr>
              <w:lastRenderedPageBreak/>
              <w:t xml:space="preserve">որոշումները, որոնք ուղղված են մրցակցության սահմանափակմանը, կանխմանը կամ արգելմանը։ Այս ձևակերպումը տարբերվում է գործող օրենքի ձևակերպումից այն առումով, որ հստակ ընդգծում է համաձայնության ուղղվածությունը, այսինքն՝ դրա սուբյեկտների նպատակը (ուղղակի դիտավորությունը) հակամրցակցային վարքագիծ դրսևորելու համատեքստում, քանի որ «ուղղված» տերմինը մեկնաբանվում է որպես համաձայնության մասնակիցների նպատակի ուղղություն՝ ուղղակի դիտավորություն։ Դրա արդյունքում, առերևույթ, բացառվում է այն համաձայնությունները հակամրցակցային համարելու հնարավորությունը, որոնք ոչ թե ուղղված են մրցակցության սահմանափակմանը, այլ հանգեցնում են կամ առավել ևս կարող են հանգեցնել մրցակցության սահմանափակմանը։ Նշված հանգամանքն, իր հերթին, կարող է առաջացնել բարդություններ հակամրցակցային համաձայնությունների ապացուցման գործընթացում, քանի որ անհրաժեշտություն կառաջանա ապացուցելու համաձայնության մասնակիցների՝ մրցակցությունը սահմանափակելու ուղղակի դիտավորությունը, ինչը շատ դեպքերում </w:t>
            </w:r>
            <w:r w:rsidRPr="00E55AE5">
              <w:rPr>
                <w:rFonts w:ascii="GHEA Grapalat" w:eastAsia="Times New Roman" w:hAnsi="GHEA Grapalat" w:cs="Times New Roman"/>
                <w:color w:val="273845"/>
                <w:sz w:val="24"/>
                <w:szCs w:val="24"/>
                <w:lang w:eastAsia="en-GB"/>
              </w:rPr>
              <w:lastRenderedPageBreak/>
              <w:t xml:space="preserve">անհնար կլինի։ Ավելին, պետք է նշել, որ Նախագծի 6-րդ հոդվածի 2-րդ մասի 3-րդ կետում «այլ համաձայնություններ» եզրույթը ներկայացվում է որպես այնպիսի գործողությունների ամբողջություն, որոնք ուղղակի կամ անուղղակի հանգեցնում են կամ կարող են հանգեցնել մրցակցության սահմանափակմանը, կանխմանը կամ արգելմանը։ Այսինքն ստացվում է, որ հորիզոնական կամ ուղղահայաց համաձայնությունների համար անհրաժեշտ է ուղղակի դիտավորություն, իսկ այլ համաձայնությունների համար բավարար է նաև անուղղակի դիտավորությունը, քանի որ այլ համաձայնություն են համարվում այն գործողությունները, որոնք անգամ անուղղակիորեն կարող են հանգեցնել մրցակցության սահմանափակմանը։ Միաժամանակ, այս առումով Նախագծի 6-րդ հոդվածի 1-ին մասը և 2-րդ մասի 3-րդ կետն առերևույթ հակասում են միմյանց, քանի որ համաձայնությունը հակամրցակցային համարելու համար անհրաժեշտ է, որպեսզի այդ համաձայնությունը ուղղված լինի մրցակցության սահմանափակմանը, իսկ այլ համաձայնությունների դեպքում դա պարտադիր չէ, բավարար է միայն մրցակցության սահմանափակման </w:t>
            </w:r>
            <w:r w:rsidRPr="00E55AE5">
              <w:rPr>
                <w:rFonts w:ascii="GHEA Grapalat" w:eastAsia="Times New Roman" w:hAnsi="GHEA Grapalat" w:cs="Times New Roman"/>
                <w:color w:val="273845"/>
                <w:sz w:val="24"/>
                <w:szCs w:val="24"/>
                <w:lang w:eastAsia="en-GB"/>
              </w:rPr>
              <w:lastRenderedPageBreak/>
              <w:t>ուղղակի կա անուղղակի հնարավորության ստեղծումը։ Համանման կերպով հակասություն է առկա Նախագծի 6-րդ հոդվածի 1-ին մասի և 3-րդ մասի 13-րդ, 4-րդ մասի 4-րդ և 5-րդ մասի 11-րդ կետերի միջև։ Առաջարկում ենք Նախագծում օգտագործել գործող օրենքի տերմինաբանությունը («ուղղված են» ձևակերպումը փոխարինել «ուղղակի կամ անուղղակի հանգեցնում են կամ կարող են հանգեցնել մրցակցության սահմանափակմանը, կանխմանը կամ արգելմանը» ձևակերպմամբ)։</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5C9A08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մասնակի</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31FBAF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6-րդ հոդվածի 1-ին մասը խմբագրվել է։</w:t>
            </w:r>
          </w:p>
        </w:tc>
      </w:tr>
      <w:tr w:rsidR="000F2FA5" w:rsidRPr="00E55AE5" w14:paraId="21B0E1E7"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F20BB4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5</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5BCF204"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C9D384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գերիշխող դիրքի որոշման տրամաբանությունը հիմնականում նույնանում է գործող օրենքի կարգավորումների հետ՝ գերիշխող դիրքը դիտարկելով որպես օբյեկտիվորեն գոյություն ունեցող կարգավիճակ անկախ Հանձնաժողովի որոշման առկայությունից։ Նման մոտեցումը հիմնականում համապատասխանում է գերիշխող դիրքի որոշման արտասահմանյան առաջատար փորձին։ Այնուամենայնիվ ցանկանում ենք Հանձնաժողովի ուշադրությունը հրավիրել Նախագծի 8-րդ հոդվածի և դրա հետ համակարգային առումով փոխկապակցված այլ դրույթների որոշակի համակարգային խնդիրների վրա՝ </w:t>
            </w:r>
            <w:r w:rsidRPr="00E55AE5">
              <w:rPr>
                <w:rFonts w:ascii="GHEA Grapalat" w:eastAsia="Times New Roman" w:hAnsi="GHEA Grapalat" w:cs="Times New Roman"/>
                <w:color w:val="273845"/>
                <w:sz w:val="24"/>
                <w:szCs w:val="24"/>
                <w:lang w:eastAsia="en-GB"/>
              </w:rPr>
              <w:lastRenderedPageBreak/>
              <w:t xml:space="preserve">իրավական որոշակիության, իրավական ակտերի կանխատեսելիության և համաչափության սահմանադրական սկզբունքների համատեքստում։ Ի տարբերություն օրենքի գործող կարգավորումների՝ Նախագծով «ապրանքային շուկա» հասկացությունը ևս դիտարկվում է որպես օբյեկտիվորեն գոյություն ունեցող ապրանքների շրջանառության ոլորտ, և ապրանքային շուկան գոյություն ունի անկախ Հանձնաժողովի որոշման առկայությունից (օրենքի գործող կարգավորումների համաձայն ապրանքային շուկան իրավական արժևորում է ստանում միայն Հանձնաժողովի որոշմամբ սահմանվելուց հետո)։ Ապրանքային շուկան բնութագրվում է աշխարհագրական և ապրանքատեսակային սահմաններով, ծավալով և սուբյեկտներով։ Դա իր հերթին նշանակում է, որ տնտեսվարող սուբյեկտը իր գերիշխող դիրքի առկայությունը պարզելու համար պետք է հատկորոշի ապրանքային շուկայի աշխարհագրական սահմանը, ապա ապրանքատեսակային սահմանը, իմանա շուկայի բոլոր մասնակիցներին և նրանց բաժինները։ Եթե ապրանքային շուկայի աշխարհագրական սահմանը հատկորոշելը տնտեսվարող սուբյեկտների </w:t>
            </w:r>
            <w:r w:rsidRPr="00E55AE5">
              <w:rPr>
                <w:rFonts w:ascii="GHEA Grapalat" w:eastAsia="Times New Roman" w:hAnsi="GHEA Grapalat" w:cs="Times New Roman"/>
                <w:color w:val="273845"/>
                <w:sz w:val="24"/>
                <w:szCs w:val="24"/>
                <w:lang w:eastAsia="en-GB"/>
              </w:rPr>
              <w:lastRenderedPageBreak/>
              <w:t xml:space="preserve">համար կարող է առանձնակի դժվարություններ չառաջացնել, ապա նույնը չենք կարող ասել ապրանքատեսակային սահմանի, ծավալի և սուբյեկտների կազմի վերաբերյալ։ Մասնավորապես, ապրանքատեսակային սահմանը ընդգրկում է ապրանքը և դրա փոխադարձ փոխարինելի ապրանքները, իսկ ապրանքների փոխադարձ փոխարինելիությունը որոշվում է մի շարք չափանիշների վրա, որոնք հատկորոշելը շատ դեպքերում կարող է չհամընկնել տնտեսվարող սուբյեկտի և Հանձնաժողովի կողմից կիրառված մեթոդաբանության առումով։ Բացի այդ, տնտեսվարող սուբյեկտը կարող է ապրանքային շուկայի ծավալը հաշվել բնեղեն արտահայտությամբ, իսկ Հանձնաժողովը՝ արժեքային։ Դժվարություններ կարող են առաջանալ նաև որակական չափանիշով սեփական գերիշխող դիրքը որոշելու չափանիշները։ Միաժամանակ, Նախագծի 8-րդ հոդվածի 3-րդ մասի համաձայն՝ քանակական չափանիշներով գերիշխող դիրք ունեցող համարելիս հաշվի է առնվում տվյալ շուկայի կենտրոնացվածության աստիճանը, որի դեպքում հարց է առաջանում, թե ինչպե՞ս է տնտեսվարող սուբյեկտը որոշելու շուկայի կենտրոնացվածության աստիճանը՝ </w:t>
            </w:r>
            <w:r w:rsidRPr="00E55AE5">
              <w:rPr>
                <w:rFonts w:ascii="GHEA Grapalat" w:eastAsia="Times New Roman" w:hAnsi="GHEA Grapalat" w:cs="Times New Roman"/>
                <w:color w:val="273845"/>
                <w:sz w:val="24"/>
                <w:szCs w:val="24"/>
                <w:lang w:eastAsia="en-GB"/>
              </w:rPr>
              <w:lastRenderedPageBreak/>
              <w:t>կիրառելու է Հերֆինդալ-Հիրշմանի մեթոդը, թե այլ մեթոդներ, և ի՞նչ է լինելու, եթե տնտեսվարող սուբյեկտի և Հանձնաժողովի մեթոդաբանությունը չհամընկնեն և հանգեցնեն տարբեր արդյունքների։ Բացի այդ, Նախագծի 8-րդ հոդվածի 6-րդ մասի համաձայն՝ տնտեսվարող սուբյեկտի մենաշնորհ կամ գերիշխող դիրքի, այդ թվում` շուկայական իշխանության որոշման կարգը և չափանիշները սահմանում է Հանձնաժողովը, ինչի արդյունքում հարց է առաջանում, թե արդյոք իրենց գերիշխող դիրքի առկայությունը պարզելու համար տնտեսվարող սուբյեկտները պետք է առաջնորդվեն այդ կարգով, թե՝ ոչ, իսկ առաջնորդվելու դեպքում՝ կարող են արդյոք այն կիրառել այնպես, որ ապահովվի իրենց գործողությունների արդյունքների կանխատեսելիությունը և լեգիտիմ ակնկալիքի ամբողջական իրացումը։ Միանշանակորեն դրական գնահատելով կատարվող փոփոխությունները և հստակեցումները՝ ցանկանում ենք Հանձնաժողովի ուշադրությունը հրավիրել վերը նշված հարցադրումների վրա, որոնք, հուսով ենք, օգտակար կլինեն, քննարկվող կարգավորումների հետագա կատարելագորման ընթացքում։</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684D7C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157D5C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p>
        </w:tc>
      </w:tr>
      <w:tr w:rsidR="000F2FA5" w:rsidRPr="00E55AE5" w14:paraId="02422F9C"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9D70DA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6</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A335728"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EA3846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9-րդ հոդվածի 3-րդ մասի համաձայն՝ գերիշխող դիրքը մեկ տարվա ընթացքում երկու կամ ավելի անգամ չարաշահելու դեպքում Հանձնաժողովը կարող է տնտեսվարող սուբյեկտների ապախոշորացման (բաժանման, առանձնացման, փայաբաժնի կամ միջոցների օտարման) մասին որոշում ընդունել, որը տնտեսվարող սուբյեկտի կողմից ենթակա է կատարման տնտեսվարող սուբյեկտների կողմից ոչ ուշ, քան 6 ամսվա ընթացքում: Նախագիծը, սահմանելով Հանձնաժողովի իրավասությունը ընդունելու տնտեսվարող սուբյեկտի ապախոշորացման վերաբերյալ որոշում, միաժամանակ չի նախատեսում նման վերակազմակերպման իրականացման հատուկ ընթացակարգ, ինչը ենթադրում է, որ Հանձնաժողովի որոշման հիման վրա համապատասխան տնտեսվարող սուբյեկտը պետք է սկսի վերակազմակերպման գործընթաց այնպես, ինչպես կամավոր վերակազմակերպման դեպքում (ընդհանուր ժողովի գումարում, բաժնետերերի և պարտատերերի ծանուցում և այլն): Ընդ որում, այդ գործընթացի ժամանակ, կազմակերպության մասնակիցները կամ բաժնետերերը պարտավորված չեն նախ </w:t>
            </w:r>
            <w:r w:rsidRPr="00E55AE5">
              <w:rPr>
                <w:rFonts w:ascii="GHEA Grapalat" w:eastAsia="Times New Roman" w:hAnsi="GHEA Grapalat" w:cs="Times New Roman"/>
                <w:color w:val="273845"/>
                <w:sz w:val="24"/>
                <w:szCs w:val="24"/>
                <w:lang w:eastAsia="en-GB"/>
              </w:rPr>
              <w:lastRenderedPageBreak/>
              <w:t xml:space="preserve">մասնակցել ընդհանուր ժողովի նիստերին, ապա նաև քվեարկել որևէ ձևով, ինչը նշանակում է, որ Հանձնաժողովի վարչական ակտի հիման վրա վերակազմակերպումը կարող է ընդհանրապես տեղի չունենալ, այդ թվում՝ անկախ կազմակերպության կամքից, օրինակ՝ բաժնետերերի կողմից ժողովին չմասնակցելու հետևանքով: Միաժամանակ, Նախագծի 96-րդ հոդվածի 4-րդ մասի համաձայն՝ Հանձնաժողովի տուգանք նշանակելու որոշումը կամովին չկատարվելու դեպքում անբողոքարկելի դառնալուց հետո ենթակա է հարկադիր կատարման «Դատական ակտերի հարկադիր կատարման մասին» օրենքով սահմանված կարգով: Այս դեպքում էլ, եթե կազմակերպությունը չկատարի Հանձնաժողովի որոշումը, ապա որևէ հետևանք չի առաջանա, քանի որ «Դատական ակտերի հարկադիր կատարման մասին» Հայաստանի Հանրապետության օրենքը չի նախատեսում որևէ ընթացակարգ, որով կազմակերպությունը կպարտավորվի հարկադիր կարգով վերակազմակերպվել: Միաժամանակ, Քաղաքացիական օրենսգրքի 63-րդ հոդվածի 2-րդ մասի համաձայն՝ օրենքով նախատեսված դեպքերում իրավաբանական անձի </w:t>
            </w:r>
            <w:r w:rsidRPr="00E55AE5">
              <w:rPr>
                <w:rFonts w:ascii="GHEA Grapalat" w:eastAsia="Times New Roman" w:hAnsi="GHEA Grapalat" w:cs="Times New Roman"/>
                <w:color w:val="273845"/>
                <w:sz w:val="24"/>
                <w:szCs w:val="24"/>
                <w:lang w:eastAsia="en-GB"/>
              </w:rPr>
              <w:lastRenderedPageBreak/>
              <w:t xml:space="preserve">բաժանման կամ նրա կազմից մեկ կամ մի քանի իրավաբանական անձանց առանձնացման ձևով իրավաբանական անձի վերակազմակերպումն իրականացվում է դատարանի վճռով: Դատարանը նշանակում է իրավաբանական անձի արտաքին կառավարիչ և նրան հանձնարարում է իրականացնել իրավաբանական անձի վերակազմակերպում: Նշանակման պահից իրավաբանական անձի գործերի կառավարման լիազորություններն անցնում են արտաքին կառավարչին: Արտաքին կառավարիչն իրավաբանական անձի անունից հանդես է գալիս դատարանում, կազմում է բաժանիչ հաշվեկշիռ և վերակազմակերպման արդյունքում ստեղծվող իրավաբանական անձանց կանոնադրությունների հետ միասին ներկայացնում է դատարան: Դատարանի կողմից այդ փաստաթղթերը հաստատելը հիմք է նոր ստեղծվող իրավաբանական անձանց պետական գրանցման համար: Հարկադիր վերակազմակերպումը կարելի է համարել օրենքի խախտման համար իրավախախտի նկատմամբ կիրառվող հարկադրանքի միջոց: Ուստի, նշված հարկադրանքի արդյունավետ կիրառման համար անհրաժեշտ է, որպեսզի իրավախախտ սուբյեկտը </w:t>
            </w:r>
            <w:r w:rsidRPr="00E55AE5">
              <w:rPr>
                <w:rFonts w:ascii="GHEA Grapalat" w:eastAsia="Times New Roman" w:hAnsi="GHEA Grapalat" w:cs="Times New Roman"/>
                <w:color w:val="273845"/>
                <w:sz w:val="24"/>
                <w:szCs w:val="24"/>
                <w:lang w:eastAsia="en-GB"/>
              </w:rPr>
              <w:lastRenderedPageBreak/>
              <w:t xml:space="preserve">հնարավորություն չունենա ազդելու գործընթացի վրա, որոշելու դրա հետագա ընթացքը: Այդ նպատակներին հնարավոր է հասնել այն դեպքում, երբ կազմակերպության վերակազմակերպումն իրականացվում է առանց նրա մասնակցության կամ առանց նրա կողմից որոշումներ կայացնելու հնարավորության, ինչպիսի ընթացակարգ համարվում է Քաղաքացիական օրենսգրքի 63-րդ հոդվածով նախատեսված կարգավորումը, երբ դատարանը նշանակում է իրավաբանական անձի արտաքին կառավարիչ և նրան հանձնարարում է իրականացնել իրավաբանական անձի վերակազմակերպում և նշանակման պահից իրավաբանական անձի գործերի կառավարման լիազորություններն անցնում են արտաքին կառավարչին: Հենց սա է հարկադիր վերակազմակերպման էությունը, երբ վերակազմակերպվողը չունի վերակազմակերպման գործընթացի վրա ազդելու հնարավորություն և գործիքակազմ: Հետևաբար, Հանձնաժողովի իրավասությունն ընդունելու տնտեսվարող սուբյեկտի բաժանման կամ առանձնացման վերաբերյալ որոշում, չի կարելի համարել Քաղաքացիական օրենսգրքով նախատեսված հարկադիր </w:t>
            </w:r>
            <w:r w:rsidRPr="00E55AE5">
              <w:rPr>
                <w:rFonts w:ascii="GHEA Grapalat" w:eastAsia="Times New Roman" w:hAnsi="GHEA Grapalat" w:cs="Times New Roman"/>
                <w:color w:val="273845"/>
                <w:sz w:val="24"/>
                <w:szCs w:val="24"/>
                <w:lang w:eastAsia="en-GB"/>
              </w:rPr>
              <w:lastRenderedPageBreak/>
              <w:t>վերակազմակերպման ընթացակարգից տարբերվող ընթացակարգ, այլ ընդհակառակը, դրանք պետք է համարել հենց օրենքով նախատեսված այն հիմքերը, երբ դատական կարգով կարող է իրականացվել կազմակերպության հարկադիր վերակազմակերպում: Կարծում ենք, որ վերը նշված վերլուծությունը կարող է դրականորեն ազդել քննարկվող կարգավորման կատարելագործման վրա։</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21BC7C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ECCCF8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Կատարվել են համապատասխան փոփոխություններ:</w:t>
            </w:r>
          </w:p>
        </w:tc>
      </w:tr>
      <w:tr w:rsidR="000F2FA5" w:rsidRPr="00E55AE5" w14:paraId="5D5EA985"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02924A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7</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570D2C0"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451C85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6. Նախագծի 14-րդ հոդվածով էական փոփոխության են ենթարկվել համակենտրոնացման ձևերը, դրանք լրացվել են նաև նոր ձևերով, որոնք նախկինում երբևէ Հանձնաժողովի կողմից չեն դիտարկվել որպես համակենտրոնացում։ Մասնավորապես, Նախագծի 9-րդ հոդվածի 1-ին մասի 5-րդ կետի համաձայն՝ համակենտրոնացում է համարվում նաև մտավոր սեփականության իրավունքի կամ անհատականացման այլ միջոցի օգտագործման իրավունքի ձեռքբերումը, որի արդյունքում տնտեսավարող սուբյեկտը կարող է էական ազդեցություն ձեռք բերել որևէ ապրանքային շուկայում մրցակցային իրավիճակի վրա։ Նշված ձևակերպումը թույլ է տալիս ենթադրել, որ մտավոր սեփականության իրավունքի օբյեկտի </w:t>
            </w:r>
            <w:r w:rsidRPr="00E55AE5">
              <w:rPr>
                <w:rFonts w:ascii="GHEA Grapalat" w:eastAsia="Times New Roman" w:hAnsi="GHEA Grapalat" w:cs="Times New Roman"/>
                <w:color w:val="273845"/>
                <w:sz w:val="24"/>
                <w:szCs w:val="24"/>
                <w:lang w:eastAsia="en-GB"/>
              </w:rPr>
              <w:lastRenderedPageBreak/>
              <w:t xml:space="preserve">վերաբերյալ գործարքներ կնքող սուբյեկտների վրա դրվում է այդ գործարքի ազդեցությունը գնահատելու պարտականություն, քանի որ մտավոր սեփականության իրավունքի օբյեկտի նկատմամբ ցանկացած գործարք չէ, որ պետք է համարել համակենտրոնացում։ Քանի որ շատ դեպքերում տնտեսվարող սուբյեկտները չեն կարող գնահատել այդ ազդեցությունը, իսկ գնահատելու դեպքում էլ կա ռիսկ, որ այդ գնահատումը կարող է չհամընկնել Հանձնաժողովի եզրահանգումների հետ, հետևաբար տնտեսվարող սուբյեկտների վրա անուղղակիորեն դրվում է պարտականություն հայտարարագրման հիմքերի առկայության դեպքում դիմել Հանձնաժողով։ Ընդ որում, շատ հնարավոր է, որ դիմելու դեպքում Հանձնաժողովը որոշի, որ համակենտրոնացում ընդհանրապես առկա չէ, քանի որ բացակայում է դրա ամենաէական հատկանիշը՝ որևէ ապրանքային շուկայում մրցակցային իրավիճակի վրա ազդելու հնարավորությունը։ Միաժամանակ, քանի որ Նախագծում օգտագործված է «որևէ ապրանքային շուկա» տերմինը, ինչը նույնական է «ցանկացած ապրանքային շուկա» եզրույթի հետ, ուստի ստացվում է, </w:t>
            </w:r>
            <w:r w:rsidRPr="00E55AE5">
              <w:rPr>
                <w:rFonts w:ascii="GHEA Grapalat" w:eastAsia="Times New Roman" w:hAnsi="GHEA Grapalat" w:cs="Times New Roman"/>
                <w:color w:val="273845"/>
                <w:sz w:val="24"/>
                <w:szCs w:val="24"/>
                <w:lang w:eastAsia="en-GB"/>
              </w:rPr>
              <w:lastRenderedPageBreak/>
              <w:t xml:space="preserve">որ օրինակ առևտրային ցանցեր շահագործող տնտեսվարող սուբյեկտները մտավոր սեփականության իրավունքի օբյեկտի նկատմամբ գործարքներ կնքելիս պետք է գնահատեն բազմաթիվ շուկաներում դրա ազդեցությունը, ինչը անհամաչափ պարտավորություն է հետապնդվող նպատակի համատեքստում։ Բացի այդ, Նախագծի 9-րդ հոդվածի 1-ին մասի 5-րդ կետում կիրառվող «կամ անհատականացման այլ միջոցի» բառակապակցության օգտագործումը ենթադրում է, որ դրան նախորդող «մտավոր սեփականության իրավունքի օբյեկտ» բառակապակցությունը վերաբերում է մտավոր սեփականության իրավունքի այն օբյեկտներին, որոնք Քաղաքացիական օրենսգրքի 1100-րդ հոդվածի 3-րդ կետի համաձայն համարվում են անհատականացման միջոցներ։ Միաժամանակ, հարց է առաջանում, թե ինչպես են հարաբերակցվելու որևէ ապրանքային շուկայում մրցակցային իրավիճակի վրա էական ազդեցություն ունենալու և հայտարարագրման հիմք համարվող գերիշխող դիրքի հանգեցնելու կամ այն ամրապնդելու իրավիճակները, որպեսզի չստացվի, թե համակենտրոնացման պայմանը նույնանում է հայտարարագրման </w:t>
            </w:r>
            <w:r w:rsidRPr="00E55AE5">
              <w:rPr>
                <w:rFonts w:ascii="GHEA Grapalat" w:eastAsia="Times New Roman" w:hAnsi="GHEA Grapalat" w:cs="Times New Roman"/>
                <w:color w:val="273845"/>
                <w:sz w:val="24"/>
                <w:szCs w:val="24"/>
                <w:lang w:eastAsia="en-GB"/>
              </w:rPr>
              <w:lastRenderedPageBreak/>
              <w:t>հիմքի հետ։</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07ED0F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C22C7F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Մտավոր սեփականության իրավունքի օբյեկտի նկատմամբ ցանկացած գործարք չէ, որ նշված հոդվածի իմաստով կհամարվի համակենտրոնացում։ Իսկ այդ հանգամանքը ավելի հեշտ պարզելու մեխանիզմները նախատեսվել են Նախագծում, ինչպիսիսն է՝ օրինակ եզրակացությունների տրամադրման ինստիտուտը և Համակենտրոնացման պարզեցված կարգով թույլատրումը:</w:t>
            </w:r>
          </w:p>
        </w:tc>
      </w:tr>
      <w:tr w:rsidR="000F2FA5" w:rsidRPr="00E55AE5" w14:paraId="25556853"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39A3C2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8</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F020F57"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D13436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18-րդ հոդվածի 1-ին մասի 2-րդ կետը այլ տնտեսվարող սուբյեկտի անունով գրանցված արդյունաբերական նմուշին նույնական կամ շփոթության աստիճանի նման նմուշի ապօրինի օգտագործումը համարում է տնտեսվարող սուբյեկտի կամ նրա գործունեության վերաբերյալ շփոթություն առաջացնել, իսկ 20-րդ հոդվածում անբարեխիղճ մրցակցություն է համարվում տնտեսվարող սուբյեկտի կողմից մտավոր գործունեության պահպանվող օբյեկտի ապօրինի օգտագործմամբ (առանց դրա իրավատիրոջ թույլտվության) ապրանքի արտադրումը, վաճառքը, վաճառքի առաջարկը և այլ ձևով քաղաքացիական շրջանառության մեջ մտցնելը։ Անհասկանալի է, թե որ դեպքում պետք է արդյունաբերական նմուշի ապօրինի օգտագործումը համարել շփոթություն առաջացնել, իսկ որ դեպքում՝ մտավոր սեփականության օբյեկտների օգտագործման նկատմամբ անբարեխիղճ մրցակցություն։ Միաժամանակ, չբացահայտված տեղեկատվությունը ևս համարվում է մտավոր սեփականության պահպանվող օբյեկտ, ուստի կարիք կա ներդաշնակեցնելու Նախագծի 20-րդ և 25-</w:t>
            </w:r>
            <w:r w:rsidRPr="00E55AE5">
              <w:rPr>
                <w:rFonts w:ascii="GHEA Grapalat" w:eastAsia="Times New Roman" w:hAnsi="GHEA Grapalat" w:cs="Times New Roman"/>
                <w:color w:val="273845"/>
                <w:sz w:val="24"/>
                <w:szCs w:val="24"/>
                <w:lang w:eastAsia="en-GB"/>
              </w:rPr>
              <w:lastRenderedPageBreak/>
              <w:t>րդ հոդվածները։</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70E05E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006862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Կատարվել են համապատասխան փոփոխություններ:</w:t>
            </w:r>
          </w:p>
        </w:tc>
      </w:tr>
      <w:tr w:rsidR="000F2FA5" w:rsidRPr="00E55AE5" w14:paraId="063A1955"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890100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9</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9C4524F"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B96722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38-րդ հոդվածի 1-ին մասով նախատեսվում են Հանձնաժողովի այնպիսի լիազորություն, ինչպիսին այլ պետական մարմինների հակամրցակցային ակտերը, ներառյալ՝ ապրանքային նշանների նկատմամբ գրանցումները անվավեր ճանաչելու լիազորություն։ Միաժամանակ, նույն հոդվածը նախատեսում է նաև պետական մարմինների և դրանց պաշտոնատար անձանց ընդունած ակտերը անվավեր ճանաչելու պահանջով դատարան դիմելու Հանձնաժողովի իրավասությունը։ Հարց է առաջանում, թե որ դեպքերում պետք է Հանձնաժողովը դիմի դատարան, իսկ որ դեպքերում սեփական նախաձեռնությամբ անվավեր ճանաչի համապատասխան ակտերը, այսինքն՝ Հանձնաժողովն ունի էական հայեցողություն այլ պետական մարմինների վարքագիծը վերահսկելու համատեքստում, ինչն առերևույթ չի համապատասխանում պետական կառավարման համակարգի գործառման ընդհանուր տրամաբանությանը։ Միաժամանակ, հետաքրքրական է, որ Նախագծի 38-րդ հոդվածի 1-ին մասի 4-րդ կետում օգտագործվում է հակամրցակցային ակտեր եզրույթը, իսկ </w:t>
            </w:r>
            <w:r w:rsidRPr="00E55AE5">
              <w:rPr>
                <w:rFonts w:ascii="GHEA Grapalat" w:eastAsia="Times New Roman" w:hAnsi="GHEA Grapalat" w:cs="Times New Roman"/>
                <w:color w:val="273845"/>
                <w:sz w:val="24"/>
                <w:szCs w:val="24"/>
                <w:lang w:eastAsia="en-GB"/>
              </w:rPr>
              <w:lastRenderedPageBreak/>
              <w:t>8-րդ կետում այդ եզրույթը բացակայում է, ինչի արդյունքում հարց է առաջանում, թե արդյոք Հանձնաժողովը սեփական նախաձեռնությամբ անվավեր ճանաչել պետական մարմինների հակամրցակցային ակտերը անվավեր է ճանաչում սեփական նախաձեռնությամբ, իսկ այլ ակտերը՝ դատարան դիմելու միջոցով։ Բացի այդ, անհասկանալի է, թե ի՞նչ պետական մարմինների մասին է խոսքը։ Արդյոք Հանձնաժողովը կարող է անվավեր ճանաչել մեկ այլ ինքնավար մարմնի՝ Հանրային ծառայությունները կարգավորող հանձնաժողովի կամ Կենտրոնական բանկի կամ տեղական ինքնակառավարման մարմնի ակտերը։ Գտնում ենք, որ Հանձնաժողովի՝ Նախագծի 38-րդ հոդվածի 1-ին մասի 4-րդ կետում նշված լիազորությունն անհրաժեշտ է հանել։ Միաժամանակ, անհասկանալի է, թե ինչպե՞ս են հարաբերակցվում Նախագծի 38-րդ հոդվածի 1-ին մասի 4-րդ կետը և 18-րդ հոդվածի 3-րդ մասը կամ 19-րդ հոդվածի 2-րդ մասը։</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5A5E04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79A519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p>
        </w:tc>
      </w:tr>
      <w:tr w:rsidR="000F2FA5" w:rsidRPr="00E55AE5" w14:paraId="5ABDFEA8"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DEA79D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10</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75019A6"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6F4BD2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40-րդ հոդվածի 5-րդ մասը սահմանում է, որ Հանձնաժողովի նիստն իրավազոր է, եթե դրան մասնակցում են անդամներից առնվազն չորսը, իսկ 42-րդ հոդվածի 1-ին մասի համաձայն՝ </w:t>
            </w:r>
            <w:r w:rsidRPr="00E55AE5">
              <w:rPr>
                <w:rFonts w:ascii="GHEA Grapalat" w:eastAsia="Times New Roman" w:hAnsi="GHEA Grapalat" w:cs="Times New Roman"/>
                <w:color w:val="273845"/>
                <w:sz w:val="24"/>
                <w:szCs w:val="24"/>
                <w:lang w:eastAsia="en-GB"/>
              </w:rPr>
              <w:lastRenderedPageBreak/>
              <w:t xml:space="preserve">Հանձնաժողովի նիստերում որոշումներն ընդունվում են նիստին մասնակցող անդամների ձայների մեծամասնությամբ: Ձայների հավասար բաշխման դեպքում Հանձնաժողովի նախագահի կամ նրան փոխարինող անձի ձայնը որոշիչ է: Ստացվում է, որ Հանձնաժողովի որոշումները կարող են ընդունվել 3 անդամի կողմ քվեարկելու դեպքում, ինչի արդյունքում խաթարվում է Հանձնաժողովի կոլեգիալ բնույթը, ավելին ստացվում է, որ որոշումը չի ընդունել Հանձնաժողովը, այլ այն ընդունել են ընդամենը 3 անդամ։ Առաջարկում ենք Հանձնաժողովի նիստերի քվորումի համար սահմանել Հանձնաժողովի առնվազն 5 անդամի ներկայություն, իսկ որոշումների ընդունման համար Հանձնաժողովի անդամների ընդհանուր թվի ձայների մեծամասնություն՝ առնվազն 4 անդամի կողմ ձայների առկայություն։ Միաժամանակ, հաշվի առնելով այն հանգամանքը, որ Հանձնաժողովի նախագահը չունի այնպիսի առանձնահատուկ կարգավիճակ, որով էականորեն տարբերվում է Հանձնաժողովի մյուս անդամներից, իսկ նրա գործառույթները սահմանափակվում են ընթացակարգային կազմակերպչական բնույթի գործողություններով՝ առաջարկում </w:t>
            </w:r>
            <w:r w:rsidRPr="00E55AE5">
              <w:rPr>
                <w:rFonts w:ascii="GHEA Grapalat" w:eastAsia="Times New Roman" w:hAnsi="GHEA Grapalat" w:cs="Times New Roman"/>
                <w:color w:val="273845"/>
                <w:sz w:val="24"/>
                <w:szCs w:val="24"/>
                <w:lang w:eastAsia="en-GB"/>
              </w:rPr>
              <w:lastRenderedPageBreak/>
              <w:t>ենք վերացնել Հանձնաժողովի նախագահի ձայնի վճռորոշ նշանակություն ունենալու վերաբերյալ կարգավորումները։ Հարկ է նշել, որ կազմավորման կարգով Հանձնաժողովին մոտ մեկ այլ ինքնավար մարմին՝ Հանրային ծառայությունները կարգավորող հանձնաժողովը գործում է հենց մեր կողմից նկարագրված մոդելով («Հանրային ծառայությունները կարգավորող մարմնի մասին» օրենք, հոդված 11)։ Նման մոդելով է գործում նաև Կոռուպցիայի կանխարգելման հանձնաժողովը։ Առաջարկում ենք նաև քննարկման առարկա դարձնել կոնկրետ որոշման բնույթով պայմանավորված անհրաժեշտ նվազագույն ձայների քանակ սահմանելու հնարավորության հարցը։</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609AF2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C913C2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42-րդ հոդվածի 1-ին մասով նախատեսված գործիքակազմի նախատեսումը հետապնդում է իրավական անվտանգությունը չխաթարելու </w:t>
            </w:r>
            <w:r w:rsidRPr="00E55AE5">
              <w:rPr>
                <w:rFonts w:ascii="GHEA Grapalat" w:eastAsia="Times New Roman" w:hAnsi="GHEA Grapalat" w:cs="Times New Roman"/>
                <w:color w:val="273845"/>
                <w:sz w:val="24"/>
                <w:szCs w:val="24"/>
                <w:lang w:eastAsia="en-GB"/>
              </w:rPr>
              <w:lastRenderedPageBreak/>
              <w:t>նպատակ: Այսպիսի դիրքորոշում արտահայտել է նաև Սահմանադրական դատարանը թիվ ՍԴՈ-1384 որոշմամբ: Իսկ հանձնաժողովի նախագահին ձայնի վճռորոշ նշանակություն ունենալու հնարավորություն նախատեսելը պայմանավորված է փակուղային իրավիճակների բացառման անհրաժեշտությամբ:</w:t>
            </w:r>
          </w:p>
        </w:tc>
      </w:tr>
      <w:tr w:rsidR="000F2FA5" w:rsidRPr="00E55AE5" w14:paraId="0FECBFA6"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5DF665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11</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6662CB7"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8CE2DC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45-րդ հոդվածի 2-րդ մասում «անձնական շահադիտական» բառերն առաջարկում ենք փոխարինել «իրենց պաշտոնեական լիազորություններից դուրս կամ դրանց չարաշահմամբ ցանկացած» բառերով։</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8BF78E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48DD33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Կատարվել են համապատասխան փոփոխություններ։</w:t>
            </w:r>
          </w:p>
        </w:tc>
      </w:tr>
      <w:tr w:rsidR="000F2FA5" w:rsidRPr="00E55AE5" w14:paraId="59FA8C73"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880EE8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12</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54BF68E"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E3E77E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46-րդ հոդվածի 4-րդ մասով նախատեսված լիազորությունը ստուգումների մասով անհրաժեշտ է սահմանել «Հայաստանի Հանրապետությունում ստուգումների կազմակերպման և անցկացման մասին» </w:t>
            </w:r>
            <w:r w:rsidRPr="00E55AE5">
              <w:rPr>
                <w:rFonts w:ascii="GHEA Grapalat" w:eastAsia="Times New Roman" w:hAnsi="GHEA Grapalat" w:cs="Times New Roman"/>
                <w:color w:val="273845"/>
                <w:sz w:val="24"/>
                <w:szCs w:val="24"/>
                <w:lang w:eastAsia="en-GB"/>
              </w:rPr>
              <w:lastRenderedPageBreak/>
              <w:t>օրենքով, հակառակ դեպքում խախտվում է ստուգումների անցկացման միասնականությունը և բացի այդ Նախագծով կարգավորվում է այլ օրենքի կարգավորման առարկային վերաբերող հարաբերություն։</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D8BD73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8CBB56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Տեսաձայնագրման լիազորությունը վերաբերում է միայն Հանձնաժողովին, ուստի բացակայում է համապատասխան կարգավորումները «Հայաստանի Հանրապետությունում </w:t>
            </w:r>
            <w:r w:rsidRPr="00E55AE5">
              <w:rPr>
                <w:rFonts w:ascii="GHEA Grapalat" w:eastAsia="Times New Roman" w:hAnsi="GHEA Grapalat" w:cs="Times New Roman"/>
                <w:color w:val="273845"/>
                <w:sz w:val="24"/>
                <w:szCs w:val="24"/>
                <w:lang w:eastAsia="en-GB"/>
              </w:rPr>
              <w:lastRenderedPageBreak/>
              <w:t>ստուգումների կազմակերպման և անցկացման մասին» օրենքով նախատեսելու անհրաժեշտությունը:</w:t>
            </w:r>
          </w:p>
        </w:tc>
      </w:tr>
      <w:tr w:rsidR="000F2FA5" w:rsidRPr="00E55AE5" w14:paraId="237705C4"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BEB10C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13</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3EFD646"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2FBFA9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վերացվում է Հանձնաժողովի կողմից իր հաջորդ տարվա գործունեության ծրագիրը Ազգային ժողովում հրապարակելու պարտականությունը և կարգավորում է միայն նախորդ տարվա գործունեության վերաբերյալ հաշվետվությունը հրապարակելու վերաբերյալ դրույթներ։ Նախագծի ընդունման անհրաժեշտության հիմնավորման մեջ նշված փոփոխության վերաբերյալ որևէ հիմնավորում առկա չէ, չնայած այն հանգամանքին, որ այս փոփոխությունը կրում է հիմնարար նշանակություն ինքնավար մարմինների հաշվետվողականության, գործողությունների գնահատման և թափանցիկության համատեքստում։ Ծրագիրը և հաշվետվությունը գտնվում են օրգանական կապի մեջ և հնարավորություն են տալիս հանրության և որ ամենակարևորն է տվյալ մարմինը ձևավորած և առաջնային մանդատով օժտված Ազգային ժողովին գնահատելու </w:t>
            </w:r>
            <w:r w:rsidRPr="00E55AE5">
              <w:rPr>
                <w:rFonts w:ascii="GHEA Grapalat" w:eastAsia="Times New Roman" w:hAnsi="GHEA Grapalat" w:cs="Times New Roman"/>
                <w:color w:val="273845"/>
                <w:sz w:val="24"/>
                <w:szCs w:val="24"/>
                <w:lang w:eastAsia="en-GB"/>
              </w:rPr>
              <w:lastRenderedPageBreak/>
              <w:t>Հանձնաժողովի գործունեության արդյունավետությունը, որը կարևոր ուղենիշ է նաև Հանձնաժողովի անդամների աշխատանքը գնահատելու համար։</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7C977C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704EFF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Հանձնաժողովի կողմից իրականացվող գործունեությունը մեծ մասամբ անկանխատեսելի է, քանի որ կախված տնտեսական մրցակցության ոլորտում առկա իրավախախտումների քանակից և բնույթից, ուստի Հանձնաժողովի գործունեության ծրագիրը չի կարող արտացոլել հաջորդ տարվա ողջ գործունեությունը։</w:t>
            </w:r>
          </w:p>
        </w:tc>
      </w:tr>
      <w:tr w:rsidR="000F2FA5" w:rsidRPr="00E55AE5" w14:paraId="4CE4561F"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2824EFA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14</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C0B4731"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7B6F4F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53-րդ հոդվածի 2-րդ մասը սահմանելով ոլորտային ուսումնասիրությամբ պարզման ենթակա հանգամանքների շրջանակը՝ չի բացահայտում, թե արդյոք ոլորտային ուսումնասիրության արդյունքներով վերհանվելու են գերիշխող դիրք ունեցող սուբյեկտները, թե պարզապես ֆիքսվելու են դրանց մասնաբաժինները՝ առանց դրանք շուկայի կենտրոնացվածության աստիճանի հետ համադրելու և արդյունքում գերիշխող դիրք ունեցող սուբյեկտներին վեր հանելու։</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0E1BE7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F53CCC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Բարձացված հարցադրումները կարող են կարգավորել Հանձնաժողովի կողմից ընդունվող ուղեցույցի շրջանակներում ։</w:t>
            </w:r>
          </w:p>
        </w:tc>
      </w:tr>
      <w:tr w:rsidR="000F2FA5" w:rsidRPr="00E55AE5" w14:paraId="0056BE7C"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6EC8BD1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15</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60B601E"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D73387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55-րդ հոդվածի 3-րդ մասն առերևույթ հակասում է «Վարչարարության հիմունքների և վարչական վարույթի մասին» օրենքի 5-րդ հոդվածին, քանի որ նախատեսում է դիմումի վերադարձ ձևական պահանջների չպահպանման համար (օրինակ՝ դիմումին կցվող նյութերի ցանկը չնշելու դեպքում), բացի այդ Նախագծի 55-րդ հոդվածի 1-ին մասի 3-րդ կետի և նույն հոդվածի 3-րդ մասի համադրված վերլուծության արդյունքում </w:t>
            </w:r>
            <w:r w:rsidRPr="00E55AE5">
              <w:rPr>
                <w:rFonts w:ascii="GHEA Grapalat" w:eastAsia="Times New Roman" w:hAnsi="GHEA Grapalat" w:cs="Times New Roman"/>
                <w:color w:val="273845"/>
                <w:sz w:val="24"/>
                <w:szCs w:val="24"/>
                <w:lang w:eastAsia="en-GB"/>
              </w:rPr>
              <w:lastRenderedPageBreak/>
              <w:t>առկա է նաև հայեցողական լիազորությունները չարաշահելու վտանգ։</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848FCD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318FAB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Եզրակացությունների տրամադրումը չի հանդիսանում վարչական վարութ: Բացի այդ, տվյալ դեպքում առկա է ոչ թե հակասություն, այլ ընդհանուր կանոնրից տարբերվող հատուկ կանոնի նախատեսում:</w:t>
            </w:r>
          </w:p>
        </w:tc>
      </w:tr>
      <w:tr w:rsidR="000F2FA5" w:rsidRPr="00E55AE5" w14:paraId="75BD35FD"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AD64E8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16</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A8F3C5B"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40B307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56-րդ հոդվածի 4-րդ մասի համաձայն՝ նախքան եզրակացություն տրամադրելը Հանձնաժողովն անհրաժեշտության դեպքում սույն օրենքով սահմանված կարգով կարող է դիմել դիմումատուին, պետական մարմինների և այլ սուբյեկտների՝ եզրակացություն տրամադրելու համար անհրաժեշտ տեղեկատվություն տրամադրելու պահանջով, ինչպես նաև ստանալու դիմումում բարձրացված հարցերի վերաբերյալ լրացուցիչ տեղեկատվություն, ինչպես նաև դիմումատուին կամ այլ անձանց հրավիրել Հանձնաժողովի նիստի կամ աշխատանքային քննարկման։ Նշված ձևակերպումից միանշանակ պարզ չէ, թե արդյոք այն վերաբերում է ինչպես դիմումի հիման վրա ընթացակարգ սկսելուն, այնպես էլ Հանձնաժողովի նախաձեռնությանը։ Եթե այս կարգավորումը վերաբերում է նաև Հանձնաժողովի նախաձեռնությանը, ապա սուբյեկտների վրա դրվում է անհամաչափ պարտականություն՝ իր բացասական հետևանքներով, այն դեպքում, երբ Հանձնաժողովի նախաձեռնությամբ եզրակացության տրամադրումը չի </w:t>
            </w:r>
            <w:r w:rsidRPr="00E55AE5">
              <w:rPr>
                <w:rFonts w:ascii="GHEA Grapalat" w:eastAsia="Times New Roman" w:hAnsi="GHEA Grapalat" w:cs="Times New Roman"/>
                <w:color w:val="273845"/>
                <w:sz w:val="24"/>
                <w:szCs w:val="24"/>
                <w:lang w:eastAsia="en-GB"/>
              </w:rPr>
              <w:lastRenderedPageBreak/>
              <w:t>հանդիսանում հանրային այնպիսի բարիք կամ ուղղված չէ նման բարիքի պաշտպանությանը, որով կարելի է հիմնավորել սուբյեկտներին նման պարտականություններով ծանրաբեռնելը և ենթադրաբար տեղեկատվություն չտրամադրելու համար պատասխանատվության ենթարկելը։</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C4F5B6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B71BF1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Հանձնաժողովը իր նախաձեռնությամբ եզրակացություն տալիս է միայն նորմատիվ իրավական ակտի նախագծի տնտեսական մրցակցության պաշտպանությանը վերաբերող հարցերի վերաբերյալ, ինչի պարագայում տնտեսվարող սուբյեկտների վրա դրվելիք պարտականությունը համաչափ է և ուղղված է իրենց գործունեության ոլորտում ազատ տնտեսական մրցակցության ապահովմանը:</w:t>
            </w:r>
          </w:p>
        </w:tc>
      </w:tr>
      <w:tr w:rsidR="000F2FA5" w:rsidRPr="00E55AE5" w14:paraId="4F524191"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6CD1A2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17</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5722683"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73C344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57-րդ հոդվածի 1-ին մասը Նախագծի 56-րդ հոդվածի 5-րդ մասի առկայության պայմաններում Հանձնաժողովի համար ստեղծում է լայն հայեցողություն ցուցաբերելու հնարավորություն, քանի որ անհասկանալի է, թե ինչպե՞ս կարող է տեղեկատվության անբավարարությամբ տալ եզրակացություն, որը պարտադիր լինի կատարման, իսկ չկատարման դեպքում առաջանան բացասական հետևանքներ։</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BAF371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BE1C51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56-րդ հոդվածի 5-րդ մասի համաձայն՝ պահանջված տեղեկատվության բացակայության դեպքում Հանձնաժողովը եզրակացությունը տրամադրում է այդ տեղեկատվության բացակայությամբ՝ նշելով դրա նշանակությունը և ազդեցությունը քննարկվող հարցի վերաբերյալ, ինչի պարագայում եզրակացություն ստացողի համար հստակ կլինի, թե Հանձնաժողովին հայտնի չդարձած որ հանգամանքի դեպքում ինչպիսի վարքագիծ պետք է դրսևորի։</w:t>
            </w:r>
          </w:p>
        </w:tc>
      </w:tr>
      <w:tr w:rsidR="000F2FA5" w:rsidRPr="00E55AE5" w14:paraId="7B0EC721"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21AA459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18</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C3CC3F8"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236BC3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Առաջարկում ենք նախագծի 59-րդ հոդվածում հստակ ամրագրել, որ վարչական վարույթի ժամկետը կարող է երկարաձգվել միայն մեկ անգամ։</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8DF498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9144E5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59-րդ հոդվածի ձևակերպումից ակնհայտ է, որ այն չի նախատեսում երկարաձգված ժամկետը երկարաձգելու հնարավորություն։</w:t>
            </w:r>
          </w:p>
        </w:tc>
      </w:tr>
      <w:tr w:rsidR="000F2FA5" w:rsidRPr="00E55AE5" w14:paraId="3F3F6DFA"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0FA478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19</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C9700B4"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"Լեգատուս" </w:t>
            </w:r>
            <w:r w:rsidRPr="00E55AE5">
              <w:rPr>
                <w:rFonts w:ascii="GHEA Grapalat" w:eastAsia="Times New Roman" w:hAnsi="GHEA Grapalat" w:cs="Times New Roman"/>
                <w:color w:val="273845"/>
                <w:sz w:val="24"/>
                <w:szCs w:val="24"/>
                <w:lang w:eastAsia="en-GB"/>
              </w:rPr>
              <w:lastRenderedPageBreak/>
              <w:t>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802BA2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Նախագծի 68-րդ հոդվածի 2-րդ մասը </w:t>
            </w:r>
            <w:r w:rsidRPr="00E55AE5">
              <w:rPr>
                <w:rFonts w:ascii="GHEA Grapalat" w:eastAsia="Times New Roman" w:hAnsi="GHEA Grapalat" w:cs="Times New Roman"/>
                <w:color w:val="273845"/>
                <w:sz w:val="24"/>
                <w:szCs w:val="24"/>
                <w:lang w:eastAsia="en-GB"/>
              </w:rPr>
              <w:lastRenderedPageBreak/>
              <w:t>իրավական որոշակիության տեսանկյունից խնդրահարույց է, բացի այդ ստեղծում է Հանձնաժողովի կողմից լայն հայեցողություն ցուցաբերելու հնարավորություն, քանի որ պարտավորեցնում է սուբյեկտին ներկայացնել ապացույցներ ապագայում որոշակի վարքագիծ դրսևորելու վերաբերյալ, ինչը շատ դեպքերում անհնար կլինի ապահովել։</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BAB66E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Ընդունվել է ի </w:t>
            </w:r>
            <w:r w:rsidRPr="00E55AE5">
              <w:rPr>
                <w:rFonts w:ascii="GHEA Grapalat" w:eastAsia="Times New Roman" w:hAnsi="GHEA Grapalat" w:cs="Times New Roman"/>
                <w:color w:val="273845"/>
                <w:sz w:val="24"/>
                <w:szCs w:val="24"/>
                <w:lang w:eastAsia="en-GB"/>
              </w:rPr>
              <w:lastRenderedPageBreak/>
              <w:t>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998A00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Նշված նորմը միայն ամրագրում է </w:t>
            </w:r>
            <w:r w:rsidRPr="00E55AE5">
              <w:rPr>
                <w:rFonts w:ascii="GHEA Grapalat" w:eastAsia="Times New Roman" w:hAnsi="GHEA Grapalat" w:cs="Times New Roman"/>
                <w:color w:val="273845"/>
                <w:sz w:val="24"/>
                <w:szCs w:val="24"/>
                <w:lang w:eastAsia="en-GB"/>
              </w:rPr>
              <w:lastRenderedPageBreak/>
              <w:t>տնտեսվարող սուբյեկտի հայտարարագրած համակենտրոնացումը թույլատրելու նպատակով ապացույցներ ներկայացնելու իրավունքը։ Եթե անհնար լինի նման ապացույցներ ներկայացնելը, ապա Հանձնաժողովը չի կարող թույլատրել համակենտրոնացումը։ Հարկ է նշել, որ Նախագծի 68-րդ հոդվածի 2-րդ մասի հիմքով Հանձնաժողովը համակենտրոնացումը կարող է թույլատրել պայմանով։</w:t>
            </w:r>
          </w:p>
        </w:tc>
      </w:tr>
      <w:tr w:rsidR="000F2FA5" w:rsidRPr="00E55AE5" w14:paraId="5F9ADDDA"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F6AF65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20</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5789436"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DDAAF2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Նախագծով ներմուծվել է լիովին նոր ինստիտուտ՝ վարչական իրավախախտման վերաբերյալ հաղորդման նախնական ուսումնասիրությունը, որն առաջին հայացքից ուղղված է վարչարարության տնտեսավարության սկզբունքի ապահովմանը, սակայն գործնականում կարող է հանգեցնել այդ սկզբունքի խախտմանը և բացի այդ հանգեցնել անձանց իրավունքների անհամաչափ սահմանափակման։ Այսպես, Նախագծի 75-րդ հոդվածի 1-ին մասը նախնական ուսումնասիրության համար սահմանում է մեկամսյա ժամկետ՝ այդ ժամկետը ևս մեկ </w:t>
            </w:r>
            <w:r w:rsidRPr="00E55AE5">
              <w:rPr>
                <w:rFonts w:ascii="GHEA Grapalat" w:eastAsia="Times New Roman" w:hAnsi="GHEA Grapalat" w:cs="Times New Roman"/>
                <w:color w:val="273845"/>
                <w:sz w:val="24"/>
                <w:szCs w:val="24"/>
                <w:lang w:eastAsia="en-GB"/>
              </w:rPr>
              <w:lastRenderedPageBreak/>
              <w:t xml:space="preserve">ամսով երկարաձգելու հնարավորությամբ (այստեղ արդիական է սույն կարծիքի 18-րդ կետում արտահայտված դիրքորոշումը)։ Նույն հոդվածի 2-րդ մասը սահմանում է, որ Հանձնաժողովը նախնական ուսումնասիրության շրջանակներում կարող է իրացնել իր ողջ գործիքակազմը՝ ստուգում, ուսումնասիրություն, հսկիչ գնում, դիտանցում, մշտադիտարկում, լսումներ և այլն։ Ստացվում է, որ Հանձնաժողովը վարչական իրավախախտման վերաբերյալ վարույթ հարուցելու հիմքերը ստուգելու նպատակով փաստացի հարուցում է վարչական վարույթ, չնայած այն հանգամանքին, որ Նախագծով ուղղակիորեն այդ մասին նշված չէ։ Արդյունքում ստացվում է, որ վարչական իրավախախտման վերաբերյալ վարույթը փաստացի կարող է տևել ոչ թե առավելագույնը վեց ամիս, այլ՝ ութ ամիս։ Բացի այդ, հարց է առաջանում, թե ինչու՞ պետք է վարչական իրավախախտման վերաբերյալ վարույթը տևի երեք ամիս, եթե դրան նախորդող նախնական ուսումնասիրության ընթացքում կատարվելու են վարչարարական գործողություններ, որոնք հատուկ են վարչական իրավախախտման վերաբերյալ վարչական վարույթին, ի՞նչ գործողություններ պետք է կատարվեն այդ </w:t>
            </w:r>
            <w:r w:rsidRPr="00E55AE5">
              <w:rPr>
                <w:rFonts w:ascii="GHEA Grapalat" w:eastAsia="Times New Roman" w:hAnsi="GHEA Grapalat" w:cs="Times New Roman"/>
                <w:color w:val="273845"/>
                <w:sz w:val="24"/>
                <w:szCs w:val="24"/>
                <w:lang w:eastAsia="en-GB"/>
              </w:rPr>
              <w:lastRenderedPageBreak/>
              <w:t xml:space="preserve">երեք ամսում։ Արդյո՞ք,Հանձնաժողովը կարող է նախնական ուսումնասիրության ընթացում կատարված գործողությունները կրկնել վարչական իրավախախտման վարույթի ժամանակ և ինչպե՞ս է դա ապահովելու տնտեսավարության սկզբունքի իրացումը։ Բացի այդ, Հանձնաժողովը նախնական ուսումնասիրության արդյունքներով կարող է ընդունել դիմումը վերահասցեագրելու վերաբերյալ որոշում, ընդ որում այդ որոշումը կարող է ընդունվել մեկ ամիս հետո, քանի որ Նախագծով այդ որոշման ընդունման հատուկ ժամկետ նախատեսված չէ։ Նման պայմաններում, կարող է ստեղծվել իրավիճակ, երբ նախնական ուսումնասիրության արդյունքներով կայացվի հաղորդումը վերահասցեագրելու վերաբերյալ որոշում, սակայն համապատասխան վարչական մարմնի իրավասության տիրույթում քննարկման ենթակա իրավախախտման համար պատասխանատվության ենթարկելու վաղեմության ժամկետներն անցած լինեն նախնական ուսումնասիրությունն իրականացնելու մեկամսյա ժամկետի ընթացքում։ Հենց այդ նկատառումներից ելնելով էլ «Վարչարարության հիմունքների և վարչական վարույթի մասին» օրենքը </w:t>
            </w:r>
            <w:r w:rsidRPr="00E55AE5">
              <w:rPr>
                <w:rFonts w:ascii="GHEA Grapalat" w:eastAsia="Times New Roman" w:hAnsi="GHEA Grapalat" w:cs="Times New Roman"/>
                <w:color w:val="273845"/>
                <w:sz w:val="24"/>
                <w:szCs w:val="24"/>
                <w:lang w:eastAsia="en-GB"/>
              </w:rPr>
              <w:lastRenderedPageBreak/>
              <w:t>դիմումը վերահասցեագրելու համար սահմանում է ընդամենը եռօրյա ժամկետ։ Գտնում ենք, որ նախնական ուսումնասիրություն իրականացնելու Հանձնաժողովի իրավասությունը ենթակա է էական վերափոխման վարչարարության տնտեսավարության, անձանց իրավունքների երաշխավորման, նույն արդյունքին միտված մի քանի վարույթներ չհարուցելու, Հանձնաժողովի հայեցողական լիազորության համաչափ իրականացման տեսանկյունից։</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97EA60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մասնակի</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AB4A7E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Հաղորդման հիման վրա կատարվող նախնական ուսումնասիրության նպատակն է պարզել, թե Նախագծի 75-րդ հոդվածի 3-րդ մասով նախատեսված որ որոշումն ենթակա ընդունման Հանձնաժողովի կողմից, ուստի այդ փուլում կատարվող գործողություններն ուղղված են միայն այդ նպատակին, ինչին հասնելու համար հնարավոր է, որ անհրաժեշտ լինի կատարել նշված գործողություններից յուրաքանչյուրը, որոնց մի մասի կատարումը՝ կախված նաև դրանց ծավալից, </w:t>
            </w:r>
            <w:r w:rsidRPr="00E55AE5">
              <w:rPr>
                <w:rFonts w:ascii="GHEA Grapalat" w:eastAsia="Times New Roman" w:hAnsi="GHEA Grapalat" w:cs="Times New Roman"/>
                <w:color w:val="273845"/>
                <w:sz w:val="24"/>
                <w:szCs w:val="24"/>
                <w:lang w:eastAsia="en-GB"/>
              </w:rPr>
              <w:lastRenderedPageBreak/>
              <w:t>կարող է պահանջել տևական ժամանակ` ընդհուպ մինչև մեկ ամիս: Իսկ վարույթ հարուցելուց հետո կատարվող գործողություններն ուղղված են իրավախախտման առկայության, դրա բոլոր հանգամանքների պարզմանը։ Դիմումը վերահասցեագրելու մասով Նախագծում կատարվել են համապատասխան փոփոխություններ։</w:t>
            </w:r>
          </w:p>
        </w:tc>
      </w:tr>
      <w:tr w:rsidR="000F2FA5" w:rsidRPr="00E55AE5" w14:paraId="6A4E4EDE"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33DDB3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21</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70FEA2F"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897C3B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Նախագծի 89-րդ հոդվածով սահմանվող տուգանքի չափերից շատերն ունեն անհասկանալի ծագում և ստեղծում են առնվազն իրավական որոշակիության և համաչափության տեսանկյունից դրանց սահմանադրականությունը վիճարկելու հնարավորություն։ Խոսքը վերաբերում է Նախագծի 89-րդ հոդվածի 11-րդ, 13-րդ և 16-րդ մասերին։ Նախ, անհասկանալի է, թե ինչպես պետք է հասկանալ «առավել խիստ տուգանքի չափ» ձևակերպումը, եթե նշանակվող տուգանքները սահմանված են հասույթի նկատմամբ տոկոսով, երկրորդ՝ անհասկանալի է, թե ի՞նչ չափանիշով են նույնացվում օրինակ հակամրցակցային համաձայնությունները և դրանց քննության շրջանակներում թերի տեղեկատվություն </w:t>
            </w:r>
            <w:r w:rsidRPr="00E55AE5">
              <w:rPr>
                <w:rFonts w:ascii="GHEA Grapalat" w:eastAsia="Times New Roman" w:hAnsi="GHEA Grapalat" w:cs="Times New Roman"/>
                <w:color w:val="273845"/>
                <w:sz w:val="24"/>
                <w:szCs w:val="24"/>
                <w:lang w:eastAsia="en-GB"/>
              </w:rPr>
              <w:lastRenderedPageBreak/>
              <w:t>տալու իրավախախտումները։ Այս մեթոդաբանության մասին ևս հիմնավորումներում ոչ մի խոսք չկա։</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13B6D7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FE333F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«Առավել խիստ տուգանքի չափ» ձևակերպումը ենթադրում է այն իրավախախտման համար նախատեսված տուգանքի առավելագույն չափը, որի տոկոսն ավելի բարձր է։ Հիմնավորումներում կատարվել են համապատասխան փոփոխություններ:</w:t>
            </w:r>
          </w:p>
        </w:tc>
      </w:tr>
      <w:tr w:rsidR="000F2FA5" w:rsidRPr="00E55AE5" w14:paraId="71699D7D"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934924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22</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0DDBD9C"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5BFEC8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«Օպերատիվ-հետախուզական գործունեության մասին» օրենքում լրացումներ և փոփոխություններ կատարելու մասին» օրենքի 3-րդ հոդվածում «տնտեսական գործունեության» բառերից հետո անհրաժեշտ է լրացնել «արգելված» բառը։</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EE0DAB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334889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Կատարվել են համապատասխան փոփոխություններ:</w:t>
            </w:r>
          </w:p>
        </w:tc>
      </w:tr>
      <w:tr w:rsidR="000F2FA5" w:rsidRPr="00E55AE5" w14:paraId="38BC3443"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BCBB5E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23</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10F2621"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"Լեգատուս" ՍՊԸ</w:t>
            </w:r>
            <w:r w:rsidRPr="00E55AE5">
              <w:rPr>
                <w:rFonts w:ascii="RobotoSlab-regular" w:eastAsia="Times New Roman" w:hAnsi="RobotoSlab-regular" w:cs="Times New Roman"/>
                <w:color w:val="4B5C6A"/>
                <w:sz w:val="21"/>
                <w:szCs w:val="21"/>
                <w:bdr w:val="none" w:sz="0" w:space="0" w:color="auto" w:frame="1"/>
                <w:lang w:eastAsia="en-GB"/>
              </w:rPr>
              <w:t>04.06.2020 20:16:20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D36A28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«Իրավաբանական անձանց գրանցման, իրավաբանական անձանց առանձնացված ստորաբաժանումների, հիմնարկների և անհատ ձեռնարկատերերի պետական հաշվառման մասին» օրենքում փոփոխություններ կատարելու համատեքստում առաջարկում ենք քննարկել հիշյալ օրենքի 31-րդ հոդվածի 3-4-րդ մասերը, 36</w:t>
            </w:r>
            <w:r w:rsidRPr="00E55AE5">
              <w:rPr>
                <w:rFonts w:ascii="Cambria Math" w:eastAsia="Times New Roman" w:hAnsi="Cambria Math" w:cs="Cambria Math"/>
                <w:color w:val="273845"/>
                <w:sz w:val="24"/>
                <w:szCs w:val="24"/>
                <w:lang w:eastAsia="en-GB"/>
              </w:rPr>
              <w:t>․</w:t>
            </w:r>
            <w:r w:rsidRPr="00E55AE5">
              <w:rPr>
                <w:rFonts w:ascii="GHEA Grapalat" w:eastAsia="Times New Roman" w:hAnsi="GHEA Grapalat" w:cs="Times New Roman"/>
                <w:color w:val="273845"/>
                <w:sz w:val="24"/>
                <w:szCs w:val="24"/>
                <w:lang w:eastAsia="en-GB"/>
              </w:rPr>
              <w:t>2-</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հոդվածի</w:t>
            </w:r>
            <w:r w:rsidRPr="00E55AE5">
              <w:rPr>
                <w:rFonts w:ascii="GHEA Grapalat" w:eastAsia="Times New Roman" w:hAnsi="GHEA Grapalat" w:cs="Times New Roman"/>
                <w:color w:val="273845"/>
                <w:sz w:val="24"/>
                <w:szCs w:val="24"/>
                <w:lang w:eastAsia="en-GB"/>
              </w:rPr>
              <w:t xml:space="preserve"> 2-</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մասի</w:t>
            </w:r>
            <w:r w:rsidRPr="00E55AE5">
              <w:rPr>
                <w:rFonts w:ascii="GHEA Grapalat" w:eastAsia="Times New Roman" w:hAnsi="GHEA Grapalat" w:cs="Times New Roman"/>
                <w:color w:val="273845"/>
                <w:sz w:val="24"/>
                <w:szCs w:val="24"/>
                <w:lang w:eastAsia="en-GB"/>
              </w:rPr>
              <w:t xml:space="preserve"> 7-</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կետը</w:t>
            </w:r>
            <w:r w:rsidRPr="00E55AE5">
              <w:rPr>
                <w:rFonts w:ascii="GHEA Grapalat" w:eastAsia="Times New Roman" w:hAnsi="GHEA Grapalat" w:cs="Times New Roman"/>
                <w:color w:val="273845"/>
                <w:sz w:val="24"/>
                <w:szCs w:val="24"/>
                <w:lang w:eastAsia="en-GB"/>
              </w:rPr>
              <w:t>, 51-</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հոդվածի</w:t>
            </w:r>
            <w:r w:rsidRPr="00E55AE5">
              <w:rPr>
                <w:rFonts w:ascii="GHEA Grapalat" w:eastAsia="Times New Roman" w:hAnsi="GHEA Grapalat" w:cs="Times New Roman"/>
                <w:color w:val="273845"/>
                <w:sz w:val="24"/>
                <w:szCs w:val="24"/>
                <w:lang w:eastAsia="en-GB"/>
              </w:rPr>
              <w:t xml:space="preserve"> 2-</w:t>
            </w:r>
            <w:r w:rsidRPr="00E55AE5">
              <w:rPr>
                <w:rFonts w:ascii="GHEA Grapalat" w:eastAsia="Times New Roman" w:hAnsi="GHEA Grapalat" w:cs="GHEA Grapalat"/>
                <w:color w:val="273845"/>
                <w:sz w:val="24"/>
                <w:szCs w:val="24"/>
                <w:lang w:eastAsia="en-GB"/>
              </w:rPr>
              <w:t>րդ</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մասը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փոփոխելու</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հարցը՝</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հաշվի</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առնելով</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գերիշխող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դիրք</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վերաբերյալ</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Նախագծում</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նախատեսվող</w:t>
            </w:r>
            <w:r w:rsidRPr="00E55AE5">
              <w:rPr>
                <w:rFonts w:ascii="GHEA Grapalat" w:eastAsia="Times New Roman" w:hAnsi="GHEA Grapalat" w:cs="Times New Roman"/>
                <w:color w:val="273845"/>
                <w:sz w:val="24"/>
                <w:szCs w:val="24"/>
                <w:lang w:eastAsia="en-GB"/>
              </w:rPr>
              <w:t xml:space="preserve"> </w:t>
            </w:r>
            <w:r w:rsidRPr="00E55AE5">
              <w:rPr>
                <w:rFonts w:ascii="GHEA Grapalat" w:eastAsia="Times New Roman" w:hAnsi="GHEA Grapalat" w:cs="GHEA Grapalat"/>
                <w:color w:val="273845"/>
                <w:sz w:val="24"/>
                <w:szCs w:val="24"/>
                <w:lang w:eastAsia="en-GB"/>
              </w:rPr>
              <w:t>կարգավորումները</w:t>
            </w:r>
            <w:r w:rsidRPr="00E55AE5">
              <w:rPr>
                <w:rFonts w:ascii="GHEA Grapalat" w:eastAsia="Times New Roman" w:hAnsi="GHEA Grapalat" w:cs="Times New Roman"/>
                <w:color w:val="273845"/>
                <w:sz w:val="24"/>
                <w:szCs w:val="24"/>
                <w:lang w:eastAsia="en-GB"/>
              </w:rPr>
              <w:t>։</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4059CB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658D3A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Կատարվել են համապատասխան փոփոպություններ:</w:t>
            </w:r>
          </w:p>
        </w:tc>
      </w:tr>
      <w:tr w:rsidR="000F2FA5" w:rsidRPr="00E55AE5" w14:paraId="3BD1F857"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272DC79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24</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24E5F6B"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«Հայաստանի Իրավական Պաշտպանության Կոմիտե» Իրավապաշտպան </w:t>
            </w:r>
            <w:r w:rsidRPr="00E55AE5">
              <w:rPr>
                <w:rFonts w:ascii="GHEA Grapalat" w:eastAsia="Times New Roman" w:hAnsi="GHEA Grapalat" w:cs="Times New Roman"/>
                <w:color w:val="273845"/>
                <w:sz w:val="24"/>
                <w:szCs w:val="24"/>
                <w:lang w:eastAsia="en-GB"/>
              </w:rPr>
              <w:lastRenderedPageBreak/>
              <w:t>ՀԿ</w:t>
            </w:r>
            <w:r w:rsidRPr="00E55AE5">
              <w:rPr>
                <w:rFonts w:ascii="RobotoSlab-regular" w:eastAsia="Times New Roman" w:hAnsi="RobotoSlab-regular" w:cs="Times New Roman"/>
                <w:color w:val="4B5C6A"/>
                <w:sz w:val="21"/>
                <w:szCs w:val="21"/>
                <w:bdr w:val="none" w:sz="0" w:space="0" w:color="auto" w:frame="1"/>
                <w:lang w:eastAsia="en-GB"/>
              </w:rPr>
              <w:t>04.06.2020 21:23:47</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3AF5FD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Օրենքի նախագծի 47-րդ հոդվածի 2-րդ մասի համաձայն՝ Ապրանքների տեսակները, տնտեսվարող սուբյեկտների կողմից Հանձնաժողով տեղեկատվության տրամադրման և մշտադիտարկման </w:t>
            </w:r>
            <w:r w:rsidRPr="00E55AE5">
              <w:rPr>
                <w:rFonts w:ascii="GHEA Grapalat" w:eastAsia="Times New Roman" w:hAnsi="GHEA Grapalat" w:cs="Times New Roman"/>
                <w:color w:val="273845"/>
                <w:sz w:val="24"/>
                <w:szCs w:val="24"/>
                <w:lang w:eastAsia="en-GB"/>
              </w:rPr>
              <w:lastRenderedPageBreak/>
              <w:t>իրականացման կարգը սահմանվում է Հանձնաժողովի ենթաօրենսդրական նորմատիվ իրավական ակտով: Գտնում ենք, որ ենթաօրենսդրական նորմատիվ իրականա ակտով վարչական մարմնի լիազորություններ սահմանելը վիճելի է, այդպիսի կարգավորումները պետք է նախատեսվեն միայն օրենքով, ավելին, վիճելի է նաև Հանձնաժողովի կողմից ենթաօրենսդրական ակտերի ընդունման լիազորությունների շրջանակի մեծացումը, որը նույնպես չհիմնավորված է:</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9FD92E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FF8834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Սահմանադրության 122-րդ հոդվածի 3-րդ մասի համաձայն՝ ինքնավար մարմիններին օրենքով կարող է վերապահվել ենթաօրենսդրական նորմատիվ իրավական ակտեր </w:t>
            </w:r>
            <w:r w:rsidRPr="00E55AE5">
              <w:rPr>
                <w:rFonts w:ascii="GHEA Grapalat" w:eastAsia="Times New Roman" w:hAnsi="GHEA Grapalat" w:cs="Times New Roman"/>
                <w:color w:val="273845"/>
                <w:sz w:val="24"/>
                <w:szCs w:val="24"/>
                <w:lang w:eastAsia="en-GB"/>
              </w:rPr>
              <w:lastRenderedPageBreak/>
              <w:t>ընդունելու իրավասություն:</w:t>
            </w:r>
          </w:p>
        </w:tc>
      </w:tr>
      <w:tr w:rsidR="000F2FA5" w:rsidRPr="00E55AE5" w14:paraId="37960ABC" w14:textId="77777777" w:rsidTr="000F2FA5">
        <w:tc>
          <w:tcPr>
            <w:tcW w:w="100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130F38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25</w:t>
            </w:r>
          </w:p>
        </w:tc>
        <w:tc>
          <w:tcPr>
            <w:tcW w:w="2544"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DFA63CB"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21:26:20</w:t>
            </w:r>
          </w:p>
        </w:tc>
        <w:tc>
          <w:tcPr>
            <w:tcW w:w="50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9D34AF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Բազմաթիվ իրավապաշտպանների, իրավաբանների, մասնագետների և փաստաբանների կողմից արձանագրվել է ՏՄՊՊՀ-ում վարչական վարույթի ժամկետի անսահամանափակ լինելը, հիմնավորվել է, որ դա իրավական անորոշություն առաջացնող է: Սույն նախագծով նույնպես առկա է նույն խնդիրը, մասնավորապես կասեցման ժամանակահատվածը անսահմանափակ է և կարող է տևել տարիներ, իսկ վարչական վարույթի ժամկետը կարող է անսահամափակ երկարաձգվել 30-օրյա ժամկետով, դա իրավական որոշակիության խախտում է և կարող է հանգեցնել Հանձնաժողովի կողմից կամայական վարքագծի:</w:t>
            </w:r>
          </w:p>
        </w:tc>
        <w:tc>
          <w:tcPr>
            <w:tcW w:w="1918"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9F00AC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 ի գիտություն</w:t>
            </w:r>
          </w:p>
        </w:tc>
        <w:tc>
          <w:tcPr>
            <w:tcW w:w="4297"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8DB13D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59-րդ հոդվածի ձևակերպումից ակնհայտ է, որ այն չի նախատեսում երկարաձգված ժամկետը երկարաձգելու հնարավորություն։</w:t>
            </w:r>
          </w:p>
        </w:tc>
      </w:tr>
    </w:tbl>
    <w:p w14:paraId="12269508" w14:textId="77777777" w:rsidR="000F2FA5" w:rsidRDefault="000F2FA5" w:rsidP="000F2FA5"/>
    <w:p w14:paraId="6D30195D" w14:textId="77777777" w:rsidR="000F2FA5" w:rsidRDefault="000F2FA5" w:rsidP="000F2FA5"/>
    <w:tbl>
      <w:tblPr>
        <w:tblW w:w="14743" w:type="dxa"/>
        <w:tblInd w:w="-551" w:type="dxa"/>
        <w:shd w:val="clear" w:color="auto" w:fill="FFFFFF"/>
        <w:tblCellMar>
          <w:left w:w="0" w:type="dxa"/>
          <w:right w:w="0" w:type="dxa"/>
        </w:tblCellMar>
        <w:tblLook w:val="04A0" w:firstRow="1" w:lastRow="0" w:firstColumn="1" w:lastColumn="0" w:noHBand="0" w:noVBand="1"/>
      </w:tblPr>
      <w:tblGrid>
        <w:gridCol w:w="1002"/>
        <w:gridCol w:w="2546"/>
        <w:gridCol w:w="4432"/>
        <w:gridCol w:w="2571"/>
        <w:gridCol w:w="4192"/>
      </w:tblGrid>
      <w:tr w:rsidR="000F2FA5" w:rsidRPr="00E55AE5" w14:paraId="3A2334A0" w14:textId="77777777" w:rsidTr="000F2FA5">
        <w:tc>
          <w:tcPr>
            <w:tcW w:w="0" w:type="auto"/>
            <w:tcBorders>
              <w:top w:val="nil"/>
              <w:left w:val="nil"/>
              <w:right w:val="nil"/>
            </w:tcBorders>
            <w:shd w:val="clear" w:color="auto" w:fill="D2D4E1"/>
            <w:tcMar>
              <w:top w:w="225" w:type="dxa"/>
              <w:left w:w="300" w:type="dxa"/>
              <w:bottom w:w="225" w:type="dxa"/>
              <w:right w:w="300" w:type="dxa"/>
            </w:tcMar>
            <w:hideMark/>
          </w:tcPr>
          <w:p w14:paraId="6949ED3C"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h/h</w:t>
            </w:r>
          </w:p>
        </w:tc>
        <w:tc>
          <w:tcPr>
            <w:tcW w:w="2546"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541EF8BA"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Առաջարկության հեղինակը, ստացման ամսաթիվը</w:t>
            </w:r>
          </w:p>
        </w:tc>
        <w:tc>
          <w:tcPr>
            <w:tcW w:w="4432"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4338E0EB"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Առաջարկության բովանդակությունը</w:t>
            </w:r>
          </w:p>
        </w:tc>
        <w:tc>
          <w:tcPr>
            <w:tcW w:w="2571"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7819800B"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Եզրակացություն</w:t>
            </w:r>
          </w:p>
        </w:tc>
        <w:tc>
          <w:tcPr>
            <w:tcW w:w="4192" w:type="dxa"/>
            <w:tcBorders>
              <w:top w:val="nil"/>
              <w:left w:val="single" w:sz="6" w:space="0" w:color="auto"/>
              <w:bottom w:val="single" w:sz="6" w:space="0" w:color="auto"/>
              <w:right w:val="nil"/>
            </w:tcBorders>
            <w:shd w:val="clear" w:color="auto" w:fill="D2D4E1"/>
            <w:tcMar>
              <w:top w:w="225" w:type="dxa"/>
              <w:left w:w="300" w:type="dxa"/>
              <w:bottom w:w="225" w:type="dxa"/>
              <w:right w:w="300" w:type="dxa"/>
            </w:tcMar>
            <w:hideMark/>
          </w:tcPr>
          <w:p w14:paraId="05521CB0"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r w:rsidRPr="00E55AE5">
              <w:rPr>
                <w:rFonts w:ascii="GHEA Grapalat" w:eastAsia="Times New Roman" w:hAnsi="GHEA Grapalat" w:cs="Times New Roman"/>
                <w:b/>
                <w:bCs/>
                <w:color w:val="4B5C6A"/>
                <w:sz w:val="24"/>
                <w:szCs w:val="24"/>
                <w:lang w:eastAsia="en-GB"/>
              </w:rPr>
              <w:t>Կատարված փոփոխությունը</w:t>
            </w:r>
          </w:p>
        </w:tc>
      </w:tr>
      <w:tr w:rsidR="000F2FA5" w:rsidRPr="00E55AE5" w14:paraId="2E7C938F"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3A6A9CD" w14:textId="77777777" w:rsidR="000F2FA5" w:rsidRPr="00E55AE5" w:rsidRDefault="000F2FA5" w:rsidP="000F2FA5">
            <w:pPr>
              <w:spacing w:after="0" w:line="240" w:lineRule="auto"/>
              <w:jc w:val="center"/>
              <w:rPr>
                <w:rFonts w:ascii="GHEA Grapalat" w:eastAsia="Times New Roman" w:hAnsi="GHEA Grapalat" w:cs="Times New Roman"/>
                <w:b/>
                <w:bCs/>
                <w:color w:val="4B5C6A"/>
                <w:sz w:val="24"/>
                <w:szCs w:val="24"/>
                <w:lang w:eastAsia="en-GB"/>
              </w:rPr>
            </w:pPr>
          </w:p>
        </w:tc>
        <w:tc>
          <w:tcPr>
            <w:tcW w:w="2546"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BCD08D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w:t>
            </w:r>
          </w:p>
        </w:tc>
        <w:tc>
          <w:tcPr>
            <w:tcW w:w="443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63D92B8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2</w:t>
            </w:r>
          </w:p>
        </w:tc>
        <w:tc>
          <w:tcPr>
            <w:tcW w:w="2571"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D6874F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p>
        </w:tc>
        <w:tc>
          <w:tcPr>
            <w:tcW w:w="4192" w:type="dxa"/>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4B5C498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4</w:t>
            </w:r>
          </w:p>
        </w:tc>
      </w:tr>
      <w:tr w:rsidR="000F2FA5" w:rsidRPr="00E55AE5" w14:paraId="12C0D291"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C35A98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1B6161C"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21:30:16</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17AF72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Օրենքի նախագծի 87-րդ հոդվածը շատ վիճելի է իրավական առումով: Դատարանի որոշումից հետո նույն վարույթը իրականացնելը դա խախտում է ակտի հասցեատերերի իրավունքները և դատական պաշտպանության իրավունքը իմաստազրկվում է: Տեսականորեն հնարավոր է անձը ենթարկվի պատասխանատվության, Դատարանը բավարարի հայցը իսկ Հանձնաժողովը նորից կայացնի որոշում, որը նույնպես անվավեր ճանաչվի հանգեցնելով իրավական ՛՛կառուսել՛՛-ի: Դատական ակտից հետո վարույթը չի կարող վերսկսվել , դա խորթ է վարչարարությանը և իմաստազրկում է դատական պաշտպանության իրավունքը: Նաև կարգավորված չէ այն հարցը, որ </w:t>
            </w:r>
            <w:r w:rsidRPr="00E55AE5">
              <w:rPr>
                <w:rFonts w:ascii="GHEA Grapalat" w:eastAsia="Times New Roman" w:hAnsi="GHEA Grapalat" w:cs="Times New Roman"/>
                <w:color w:val="273845"/>
                <w:sz w:val="24"/>
                <w:szCs w:val="24"/>
                <w:lang w:eastAsia="en-GB"/>
              </w:rPr>
              <w:lastRenderedPageBreak/>
              <w:t>վարչական ակտը Դատարանի կողմից մի քանի հիմքերով անվավեր ճանաչելու հարցը, որից մեկը կարող է տուգանքի հայեցողական չափը լինել: Սա հիմք է հանդիսանում, որ վարչական մարմինը փոխի տուգանքի չափը ՛՛ուղղելով՛՛ սխալ վարչարարությունը, որը, իրականում, անօրինականություն է:</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567875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FC063C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Նշված դրույթը նպատակ է հետապնդում նախատեսելու հնարավորություն Վարչական դատավարության օրենսգրքի 125-րդ հոդվածի 5-րդ մասով նախատեսված դեպքում նոր վարչական ակտ ընդունելու համար։ Մասնավորապես այն դեպքերում, երբ դատարանը հաստատված կհամարի իրավախախտման առկայությունը, սակայն ոչ իրավաչափ կգնահատի պատասխանատվության միջոցի չափը։ Քննարկվող իրավակարգավորումը հնարավորություն կտա հաստատված իրավախախտման համար տնտեսվարող սուբյեկտին ենթարկել պատասխանատվության՝ հիմք </w:t>
            </w:r>
            <w:r w:rsidRPr="00E55AE5">
              <w:rPr>
                <w:rFonts w:ascii="GHEA Grapalat" w:eastAsia="Times New Roman" w:hAnsi="GHEA Grapalat" w:cs="Times New Roman"/>
                <w:color w:val="273845"/>
                <w:sz w:val="24"/>
                <w:szCs w:val="24"/>
                <w:lang w:eastAsia="en-GB"/>
              </w:rPr>
              <w:lastRenderedPageBreak/>
              <w:t>ընդունելով դատարանի իրավական դիրքորոշումները։</w:t>
            </w:r>
          </w:p>
        </w:tc>
      </w:tr>
      <w:tr w:rsidR="000F2FA5" w:rsidRPr="00E55AE5" w14:paraId="3427B86A"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A5AAF2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2</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3FE915C"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21:32:00</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81B4B9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Օրենքի նախագծով նախատեսվել է էլեկտրոնային ծանուցման համակարգ, այնինչ այն չի համապատասխանում Սահմանադրական դատարանի կողմից կայացված ՍԴՈ-1529 որոշմանը, որտեղ Սահմանադրական դատարանը անդրադարձել է վարչական մարմինների ծանուցման կարգին:</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A30B40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Ընդունվել է ի գիտություն</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977634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48-րդ հոդվածի 8-րդ մասի համաձայն՝ թղթակցությունը էլեկտրոնային փոստին ուղարկելու դեպքում Հանձնաժողովի համապատասխան գործին կցվում են թղթակցությունը ստանալու մասին էլեկտրոնային հավաստումը։ Նման իրավակարգավորումը համապատասխանում է ՍԴՈ-1529 որոշմամբ Սահմանադրական դատարանի արտահայտած դիրքորոշմանը։</w:t>
            </w:r>
          </w:p>
        </w:tc>
      </w:tr>
      <w:tr w:rsidR="000F2FA5" w:rsidRPr="00E55AE5" w14:paraId="1A62D846"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2DA816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3</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3A2ACB9"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21:33:42</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2C9157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Նախատեսվել է Հանձնաժողովի որոշումներով իրավախախտման վարույթի պատասխանողի գույքի վրա կիրառված տուգանքի չափով արգելանք դնելու հնարավորությունը: Սակայն, գտնում ենք, որ արտադական կարգով </w:t>
            </w:r>
            <w:r w:rsidRPr="00E55AE5">
              <w:rPr>
                <w:rFonts w:ascii="GHEA Grapalat" w:eastAsia="Times New Roman" w:hAnsi="GHEA Grapalat" w:cs="Times New Roman"/>
                <w:color w:val="273845"/>
                <w:sz w:val="24"/>
                <w:szCs w:val="24"/>
                <w:lang w:eastAsia="en-GB"/>
              </w:rPr>
              <w:lastRenderedPageBreak/>
              <w:t>սեփականության իրավունքի վերահսկողությունը հանգեցնում է անհամաչափ միջամտության ՄԻԵԿ 1-ին արձանագրության 1-ին հոդվածի ուժով: Նախագծի հեղինակը չի հիմնավորել այդ միջամտության հնարավորության ստեղծելու իրավաչափությունը:</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74A45E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768CBE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Պարտավոր անձի գույքի վրա արգելանք դնելու հնարավորությունը նախատեսված է «Վարչարարության հիմունքների և վարչական վարույթի մասին» օրենքով, իսկ դրա իրականացման կարգը՝ «Դատական ակտերի </w:t>
            </w:r>
            <w:r w:rsidRPr="00E55AE5">
              <w:rPr>
                <w:rFonts w:ascii="GHEA Grapalat" w:eastAsia="Times New Roman" w:hAnsi="GHEA Grapalat" w:cs="Times New Roman"/>
                <w:color w:val="273845"/>
                <w:sz w:val="24"/>
                <w:szCs w:val="24"/>
                <w:lang w:eastAsia="en-GB"/>
              </w:rPr>
              <w:lastRenderedPageBreak/>
              <w:t>հարկադիր կատարման մասին» օրենքով։</w:t>
            </w:r>
          </w:p>
        </w:tc>
      </w:tr>
      <w:tr w:rsidR="000F2FA5" w:rsidRPr="00E55AE5" w14:paraId="21947E6C"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D0FC53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4</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10E2D11"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21:36:44</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7E3CDB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Ստուգումներ իրականացնող անձանց լիազորություններում նախատեսվել է տնտեսվարող սուբյեկտի տրամադրության տակ գտնվող ցանկացած շենք կամ փաստաթղթեր կապարակնքելու, տնտեսվարող սուբյեկտի մոտ առկա տեխնիկական միջոցներից օգտվելու հնարավորություն /համակարգիչներ, սերվերներ և այլն/։ Այսպիսի կարգավորումը անօրինական է, քանի որ սեփականության իրավունքը կարող է սահմանափակվել միայն Դատարանի որոշմամբ: Կապարակնքումը կամ այլ նմանատիպ միջամտությունները համարում ենք իրավունքի հետընթաց դեպի 2000 ական թվականներ, իսկ համակարգչային տեխնիկայից օգտվելու կանոնը և դրա համար որպես խոչընդոտում անձին </w:t>
            </w:r>
            <w:r w:rsidRPr="00E55AE5">
              <w:rPr>
                <w:rFonts w:ascii="GHEA Grapalat" w:eastAsia="Times New Roman" w:hAnsi="GHEA Grapalat" w:cs="Times New Roman"/>
                <w:color w:val="273845"/>
                <w:sz w:val="24"/>
                <w:szCs w:val="24"/>
                <w:lang w:eastAsia="en-GB"/>
              </w:rPr>
              <w:lastRenderedPageBreak/>
              <w:t>պատասխանատվության ենթարկելը համարում ենք անհամաչափ լիազորություններ, որոնք չեն կարող լինել պիտանի անհրաժեշտ և չափավոր: Ավելին, Այդպիսի միջամտություն նույնիսկ առկա չէ հարկային հարաբերություններում և Հանձնաժողովի վարչարարության մեջ այդպիսի կանոններ նախատեսելը համաչափ և իրավաչափ չէ:</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95734C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1908D9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Նշված իրավակարգավորումները անհրաժեշտ են մրցակցության ոլորտում կատարվող իրավախախտումների՝ հատկապես հակամրցակցային համաձայնությունների բացահայտման համար, քանի որ առանց նման լիազորությունների գրեթե անհնար է ձեռք բերել բավարար ապացույցներ։ Ընդ որում նման իրավակարգավորում առկա է նաև «Կենտրոնական բանկի մասին» օրենքով։</w:t>
            </w:r>
          </w:p>
        </w:tc>
      </w:tr>
      <w:tr w:rsidR="000F2FA5" w:rsidRPr="00E55AE5" w14:paraId="59FF61B8"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8C2C14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5</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27E00DF"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21:38:39</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6F44A0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Տեղեկատվությունը կամ փաստաթղթերը սահմանված ժամկետում ոչ ամբողջական կամ ընդհանրապես չներկայացնելու համար՝ տնտեսվարող սուբյեկտի համար՝ մինչև 5 միլիոն դրամ, Պատասխանողի համար՝ վարույթով քննարկվող խախտման ամենախիստ պատիժը, Հանձնաժողովին խոչընդոտելու համար և/կամ խախտումները չշտկելու դեպքում, նույնպես, մինչև՝ 5 միլիոն դրամ: Անկախ տուգանքների չափից, եթե տնտեսվարող սուբյեկտի շահույթի կրկնապատիկը ավելին է քան տուգանքը, ապա տուգանվում է շահույթի կրկնապատիկի չափով: Այսպիսի կանոններ նախատեսելը չի </w:t>
            </w:r>
            <w:r w:rsidRPr="00E55AE5">
              <w:rPr>
                <w:rFonts w:ascii="GHEA Grapalat" w:eastAsia="Times New Roman" w:hAnsi="GHEA Grapalat" w:cs="Times New Roman"/>
                <w:color w:val="273845"/>
                <w:sz w:val="24"/>
                <w:szCs w:val="24"/>
                <w:lang w:eastAsia="en-GB"/>
              </w:rPr>
              <w:lastRenderedPageBreak/>
              <w:t>հետապնդում իրավաչափ նպատակ, տուգանքների չափերը ակնհայտ քրեական մեղադրանք են և նպատակ են ծառայում ոչ թե կանխարգելել այլ պատժել, որը քրեական դաշտ է: Իսկ վարչական իրավահարաբերությունում քրեական քողարկված մեղադրանք սահմանելը իրավաչափ չէ: Առաջարկում ենք իջեցնել տուգանքների չափերը և նվազեցնել այն կանոնները, որոնց համար նախատեսված է պատասխանատվություն:</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4C887F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C14189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Իրավախախտման համար նախատեսված պատասխանատվությունը պետք է լինի այնպիսին, որ անձի համար իրավախախտում կատարելը շահավետ չլինի, այլապես ոլորտը կարգավորող նորմերը չեն ծառայի իրենց նպատակին։</w:t>
            </w:r>
          </w:p>
        </w:tc>
      </w:tr>
      <w:tr w:rsidR="000F2FA5" w:rsidRPr="00E55AE5" w14:paraId="753DB2A8"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3554B12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6</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D1DE351"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21:41:10</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EA6575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Առաջարկում ենք վերացնել 10 տարի վաղեմության ժամկետ սահմանելու կանոնը, դա իրավաչափ չէ և չի հետապնդում իրավաչափ նպատակների: Անձինք կարող են այդ ընթացքում ոչնչացնել փաստաթղթեր և ապացույցներ, որոնցով կարող էին պաշտպանվել Հանձնաժողովի վարույթին, այլապես մրցակցային շատ ցածր դիրքում այդ անձինք կարող են հայտնվել ի հարաբերակցություն Հանձնաժողովի: Նաև պետք է հաշվի առնել, որ անձինք պարտավոր են պահպանել փաստաթղթեր հարկային օրենսգրքով ավելի կարճ ժամկետում: </w:t>
            </w:r>
            <w:r w:rsidRPr="00E55AE5">
              <w:rPr>
                <w:rFonts w:ascii="GHEA Grapalat" w:eastAsia="Times New Roman" w:hAnsi="GHEA Grapalat" w:cs="Times New Roman"/>
                <w:color w:val="273845"/>
                <w:sz w:val="24"/>
                <w:szCs w:val="24"/>
                <w:lang w:eastAsia="en-GB"/>
              </w:rPr>
              <w:lastRenderedPageBreak/>
              <w:t>Իսկ փաստաթղթերը դրանք ապացույցներ են:</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E71984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ընդունցել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6EC607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Տնտեսական մրցակցության բնագավառում կատարվող շատ իրավախախտումներ կարող են տևել մի քանի տարի, բացի այդ իրավախախտումներից շատերը կարող են տնտեսության վրա իրենց բացասական հետևանքներն առաջացնել տևական ժամանակ անց, ինչի պատճառով էլ դժվարանում է այդպիսի իրավախախտումների հայտնաբերումը: Առավել կարճ ժամկետ նախատեսելը կարող է հանգեցնել Օրենքի նպատակների իրագործման անհնարինությանը:</w:t>
            </w:r>
          </w:p>
        </w:tc>
      </w:tr>
      <w:tr w:rsidR="000F2FA5" w:rsidRPr="00E55AE5" w14:paraId="359001E4"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AFBD9C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7</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ADEA626"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21:42:56</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A98C72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Նախատեսվել է կանոն, համաձայն որի՝ Հանձնաժողովի որոշումները, դրանցում սահմանված պայմանները, նախատեսված պարտավորությունները և տրված հանձնարարությունները պարտադիր են դրանց հասցեատերերի համար և ենթակա են կատարման Հայաստանի Հանրապետության ամբողջ տարածքում: Կարծում ենք, որ Հանձնաժողովի այդպիսի բարձր աստիճան շնորհելը իրավունքի չարաշահման առիթ է: Հանձնաժողովի որոշումները չեն կարող առաջացնել իրավական հետևանքներ այն անձանց համար, որոնք վարույթի մասնակիցներ չեն և այսպիսի լայն սահմանումը հակասում է իրավունքի սկզբունքներին: Առաջարկում ենք հանել այս սահմանումը:</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21C608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5B1156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95-րդ հոդվածի 1-ին մասով նախատեսված նշված նորմի համաձայն Հանձնաժողովի որոշումները պարտադիր են միայն դրանց հասցեատերերի համար, հետևաբար այն հանելու անհրաժեշտությունը բացակայում է։</w:t>
            </w:r>
          </w:p>
        </w:tc>
      </w:tr>
      <w:tr w:rsidR="000F2FA5" w:rsidRPr="00E55AE5" w14:paraId="1F351954"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0A5550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8</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1BAE4A7"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21:45:37</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9E293B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Սահմանվել է, որ Հանձնաժողովի որոշմամբ սահմանված պայմանները, նախատեսված պարտավորությունները և տրված հանձնարարությունները որոշումը ուժի մեջ մտնելու օրվանից ենթակա </w:t>
            </w:r>
            <w:r w:rsidRPr="00E55AE5">
              <w:rPr>
                <w:rFonts w:ascii="GHEA Grapalat" w:eastAsia="Times New Roman" w:hAnsi="GHEA Grapalat" w:cs="Times New Roman"/>
                <w:color w:val="273845"/>
                <w:sz w:val="24"/>
                <w:szCs w:val="24"/>
                <w:lang w:eastAsia="en-GB"/>
              </w:rPr>
              <w:lastRenderedPageBreak/>
              <w:t xml:space="preserve">են անհապաղ կատարման որոշման մեջ սահմանված ժամկետում և դրանց բողոքարկումը չի կասեցնում որոշման գործողությունը կամ կատարումը: Սահմանվել է, որ Հանձնաժողովի որոշմամբ տրված հանձնարարությունները դրանցում սահմանված ժամկետում կամովին չկատարվելու դեպքում ենթակա են հարկադիր կատարման «Դատական ակտերի հարկադիր կատարման մասին» օրենքով սահմանված կարգով: Գտնում ենք, որ Հանձնաժողովի որոշումները, որոնք ենթակա են կատարման Դատական ակտերի հարկադիր կատարման կարգով, պետք է ունենան իրավական հնարավորություն դրանք վիճարկել դատական կարգով կամ վերադասությամբ, այլապես կխաթարվի անձանց իրավական արդյունավետ միջոցների իրավունքը: Չկասեցումը կարող է առաջացնել իրավական և փաստական խնդիրների: Առաջարկում ենք հանել այս կարգավորումները և հնարավորություն տալ անձանց բողոքարկել այն ակտերը, որոնք կարող են կատարվել հարկադիր կարգով և տալ կասեցման </w:t>
            </w:r>
            <w:r w:rsidRPr="00E55AE5">
              <w:rPr>
                <w:rFonts w:ascii="GHEA Grapalat" w:eastAsia="Times New Roman" w:hAnsi="GHEA Grapalat" w:cs="Times New Roman"/>
                <w:color w:val="273845"/>
                <w:sz w:val="24"/>
                <w:szCs w:val="24"/>
                <w:lang w:eastAsia="en-GB"/>
              </w:rPr>
              <w:lastRenderedPageBreak/>
              <w:t>հնարավորություն:</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448A98C"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29D14D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Հանձնաժողովի որոշումները անհապաղ չկատարելու արդյունքում շատ հաճախ դրանք կարող են իմաստազրկվել, և Հանձնաժողովը չի կարողանա ապահովել իր առջև դրված </w:t>
            </w:r>
            <w:r w:rsidRPr="00E55AE5">
              <w:rPr>
                <w:rFonts w:ascii="GHEA Grapalat" w:eastAsia="Times New Roman" w:hAnsi="GHEA Grapalat" w:cs="Times New Roman"/>
                <w:color w:val="273845"/>
                <w:sz w:val="24"/>
                <w:szCs w:val="24"/>
                <w:lang w:eastAsia="en-GB"/>
              </w:rPr>
              <w:lastRenderedPageBreak/>
              <w:t>նպատակների իրագործումը: Միևնույն ժամանակ նշված նորմերը չեն զրկում շահագրգիռ անձանց Հանձնաժողովի որոշումները բողոքարկելու իրավունքից։ Վիճարկվող վարչական ակտի կատարումը կասեցնելու հնարավորություն նախատեսում է Վարչական դատավարության օրենսգիրքը:</w:t>
            </w:r>
          </w:p>
        </w:tc>
      </w:tr>
      <w:tr w:rsidR="000F2FA5" w:rsidRPr="00E55AE5" w14:paraId="1803CFED"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3197F3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9</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4321057"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21:47:05</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FA98549"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Առաջարկում են քրեական օրենսգրքի փոփոխության մեջ խոշոր չափի և առանձնապես խոշոր չափերի ավելացում, համապատասխանաբար 3 միլիոն և 5 միլիոն դրամի չափով, այլապես քրեական պատասխանատվության ենթակա անձանց շրջանակը անհամեմատ շատ կարող է լինել:</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56B3DC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E2CCEB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Նախագծով նախատեսված չափերը համահունչ են տնտեսական հանցագործությունների համար նախատեսված համապատասխան չափերին։</w:t>
            </w:r>
          </w:p>
        </w:tc>
      </w:tr>
      <w:tr w:rsidR="000F2FA5" w:rsidRPr="00E55AE5" w14:paraId="0B089E91"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654C7177"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10</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0A9CF2D"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21:54:46</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D7DCF3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Նախատեսվում է «ՕՊԵՐԱՏԻՎ-ՀԵՏԱԽՈՒԶԱԿԱՆ ԳՈՐԾՈՒՆԵՈՒԹՅԱՆ ՄԱՍԻՆ» օրենքում լրացումներ և փոփոխություններ կատարել, որով հանձնաժողովի կողմից ներկայացված հայտի հիման վրա կարող են իրականացվել օրենքի 14-րդ հոդվածի 1-ին մասի 3-րդ, 5-րդ, 8-րդ, 9-րդ, 10-րդ, 11-րդ, 12-րդ և 13-րդ կետերով սահմանված օպերատիվ հետախուզական միջոցառումները՝ 3) համեմատական հետազոտումների նմուշների հավաքում, 5) վերահսկելի մատակարարում և գնում, 8) ներքին դիտում, 9) անձի նույնացում, 10) շենքերի, կառույցների, տեղանքի, շինությունների և տրանսպորտային միջոցների հետազոտում, 11) </w:t>
            </w:r>
            <w:r w:rsidRPr="00E55AE5">
              <w:rPr>
                <w:rFonts w:ascii="GHEA Grapalat" w:eastAsia="Times New Roman" w:hAnsi="GHEA Grapalat" w:cs="Times New Roman"/>
                <w:color w:val="273845"/>
                <w:sz w:val="24"/>
                <w:szCs w:val="24"/>
                <w:lang w:eastAsia="en-GB"/>
              </w:rPr>
              <w:lastRenderedPageBreak/>
              <w:t>նամակագրության, փոստային, հեռագրական և այլ հաղորդումների վերահսկում, 12) հեռախոսային խոսակցությունների վերահսկում, 13) օպերատիվ ներդրում: Գտնում ենք, որ ՏՄՊՊՀ-ին օպերատիվ հետախուզական տվյալների ստացման լիազորություն նախատեսելը խիստ վիճելի է և ոչ իրավաչափ, քանի որ ի տարբերություն քրեաիրավական դաշտում պետության կողմից շահերի պաշտպանության աստիճանը, տնտեսական մրցակցության ոլորտում առկա չէ այնպիսի շահերի պաշտպանության անհրաժեշտություն, որտեղ կարող է իրավաչափ համարվել անձանց անձնական կյանքի իրավունքի սահմանափակումը: Առկա չէ փոխզսպող մեխանիզմներ և այս ամենը կարող է կիրառվել կամայականորեն, առկա չէ քրեական արդարադատությամբ առկա իրավական երաշխիքները /դատախազական վերահսկողություն և այլն/:</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E83FB2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845DBA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Նշված կարգավորումները նպատակ են հետապնդում ապահովել Հայաստանի Հանրապետության` Սահմանադրությամբ նախատեսված տնտեսական կարգի հիմքերից մեկի` ազատ տնտեսական մրցակցության ապահովմանը, որը առանց նշված գործողությունների շատ դեպքերում անհնար է: Քրեական օրենսգիրքը ևս պատժելի է համարում հակամրցակցային գործունեությունը։ Ընդ որում նման կարգավորումներ առկա են բազմաթիվ երկրներում, իսկ Հայաստանի Հանրապետությունում դրանք ներդնելու անհրաժեշտությունը հաստատվել է </w:t>
            </w:r>
            <w:r w:rsidRPr="00E55AE5">
              <w:rPr>
                <w:rFonts w:ascii="GHEA Grapalat" w:eastAsia="Times New Roman" w:hAnsi="GHEA Grapalat" w:cs="Times New Roman"/>
                <w:color w:val="273845"/>
                <w:sz w:val="24"/>
                <w:szCs w:val="24"/>
                <w:lang w:eastAsia="en-GB"/>
              </w:rPr>
              <w:lastRenderedPageBreak/>
              <w:t>միջազգային փորձագետների կողմից։</w:t>
            </w:r>
          </w:p>
        </w:tc>
      </w:tr>
      <w:tr w:rsidR="000F2FA5" w:rsidRPr="00E55AE5" w14:paraId="0FB0ECF1"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64B7CEAE"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11</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A80D747"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«Հայաստանի Իրավական </w:t>
            </w:r>
            <w:r w:rsidRPr="00E55AE5">
              <w:rPr>
                <w:rFonts w:ascii="GHEA Grapalat" w:eastAsia="Times New Roman" w:hAnsi="GHEA Grapalat" w:cs="Times New Roman"/>
                <w:color w:val="273845"/>
                <w:sz w:val="24"/>
                <w:szCs w:val="24"/>
                <w:lang w:eastAsia="en-GB"/>
              </w:rPr>
              <w:lastRenderedPageBreak/>
              <w:t>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21:56:27</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BCFB87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 xml:space="preserve">Օրենքի նախագծում բացակայում են գյուտի վերաբերյալ </w:t>
            </w:r>
            <w:r w:rsidRPr="00E55AE5">
              <w:rPr>
                <w:rFonts w:ascii="GHEA Grapalat" w:eastAsia="Times New Roman" w:hAnsi="GHEA Grapalat" w:cs="Times New Roman"/>
                <w:color w:val="273845"/>
                <w:sz w:val="24"/>
                <w:szCs w:val="24"/>
                <w:lang w:eastAsia="en-GB"/>
              </w:rPr>
              <w:lastRenderedPageBreak/>
              <w:t>կարգավորումներ: ՈՒսւոմնասիրելով եվրոպական երկրների փորձը, ինչպես նաև ԵԱՏՄ երկրների տնտեսական մրցակցության պաշտպանության օրենսդրությունը, տեսնում ենք, որ Գյուտերի և օգտակար մոդելների պաշտպանություն առկա է, սակայն ոչ ներկայիս օրենքով, ոչ օրենքի նախագծով այդ կարգավորումները բացակայում են: Առաջարկում ենք լրացնել այդ իրավահարաբերությունը:</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AE4F99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D46C99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Գյուտի վերաբերյալ կարգավորումներ առկա են </w:t>
            </w:r>
            <w:r w:rsidRPr="00E55AE5">
              <w:rPr>
                <w:rFonts w:ascii="GHEA Grapalat" w:eastAsia="Times New Roman" w:hAnsi="GHEA Grapalat" w:cs="Times New Roman"/>
                <w:color w:val="273845"/>
                <w:sz w:val="24"/>
                <w:szCs w:val="24"/>
                <w:lang w:eastAsia="en-GB"/>
              </w:rPr>
              <w:lastRenderedPageBreak/>
              <w:t>Նախագծի 20-րդ հոդվածում։</w:t>
            </w:r>
          </w:p>
        </w:tc>
      </w:tr>
      <w:tr w:rsidR="000F2FA5" w:rsidRPr="00E55AE5" w14:paraId="477881D4"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17EA4C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12</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2844E38"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21:58:06</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8B991B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Օրենքի նախագծով սահմանափակվում է Հանձնաժողովի հաշվետվողականության, որոշումները հրապարակելու պարտականությունը: Գտնում ենք, որ Հանձնաժողովը պարտավոր է հրապարակել բոլոր որոշումները պահպանելով օրենքով պահպանվող գաղտնիքը: Հանձնաժողովի կողմից որոշումները չհրապարակելը առաջացնում է կամայական վարքագծի լուրջ ռիսկեր և չի կարող համարվել իրավաչափ: Առաջարկում ենք ավելացնել Հանձնաժողովի կողմից որոշումները հրապարակելու օրենսդրական կարգավորումները:</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217C50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4EDF26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Նշված իրավակարգավորումը նախատեսված է Նախագծի 43-րդ հոդվածի 1-ին մասում:</w:t>
            </w:r>
          </w:p>
        </w:tc>
      </w:tr>
      <w:tr w:rsidR="000F2FA5" w:rsidRPr="00E55AE5" w14:paraId="4B39F608"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5196EE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13</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BC0089A"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22:00:36</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116EBD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Օրենքով նախատեսվել է, որ ապրանքային նշանի գրանցումը կարող է անվավեր ճանաչվել Մրցակցության և սպառողների շահերի պաշտպանության հանձնաժողովի որոշմամբ, եթե այդ ապրանքային նշանի նկատմամբ բացառիկ իրավունքների ձեռքբերման կամ օգտագործման հետ կապված գործողությունը կամ վարքագիծը կամ ապրանքային նշանի գրանցումը որակվել է որպես «Տնտեսական մրցակցության պաշտպանության մասին» օրենքի խախտում: Գտնում ենք, որ հիշյալ սահմանումը հակասում է Սահմանադրությանը և միջազգային պարտականություններին, քանի որ ապրանքային նշանը սեփականության իրավունք է և կարող է վերացվել միայն դատական կարգով: Ասվածին թիկունք է կանգնում նաև միտքը, որ վարչական ակտերը դարձել են անբողոքարկելի և ներկայիս իրավական և Վճռաբեկ դատարանի նախադեպային իրավունքի համաձայն այդ վարչական ակտերը պարտադիր են պետական մարմինների համար և ոչ ոք չի կարող կասկածի տակ դնել դրա </w:t>
            </w:r>
            <w:r w:rsidRPr="00E55AE5">
              <w:rPr>
                <w:rFonts w:ascii="GHEA Grapalat" w:eastAsia="Times New Roman" w:hAnsi="GHEA Grapalat" w:cs="Times New Roman"/>
                <w:color w:val="273845"/>
                <w:sz w:val="24"/>
                <w:szCs w:val="24"/>
                <w:lang w:eastAsia="en-GB"/>
              </w:rPr>
              <w:lastRenderedPageBreak/>
              <w:t>իրավաչափությունը այլ պետք է ելնել այն կանխավարկածից, որ դրանք իրավաչափ են: Վիճելի է նաև այս կանոնի հետադարձ ուժ ունենալու և մինչև որոշումը գրանցված ապրանքային նշանների վերացման հնարավորությունը: Առաջարկում ենք այս կանոնները հանել նախագծից:</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7616BBF"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F6F486A"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Քննարկվում է մրցակցային օրենսդրությունը խախտող գրանցված ապրանքային նշանների դեմ արդյունավետ միջոցների ներդրման հարցը։</w:t>
            </w:r>
          </w:p>
        </w:tc>
      </w:tr>
      <w:tr w:rsidR="000F2FA5" w:rsidRPr="00E55AE5" w14:paraId="1363A944"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09A05D7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14</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82F29F2"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22:03:07</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4692930"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Նախատեսվում է տեղեկատվություն ստանալու բացարձակ իրավունք անկախ դրա առևտրային, բանկային կամ այլ գաղտնիք լինելու հանգամանքից: Գտնում ենք, որ սահմանումը վիճելի է, չկա փոխզսպող մեխանիզմներ և չի կարող անձանց բանկային կամ այլ գաղտնիքի նկատմամբ իրավունքները լինեն ավելի ստորադաս քան տնտեսական մրցակցության պաշտպանությունը: Ավելին, պարզ չէ թե նախագծում այլ գաղտնիքի տակ ինչ է հասկացվում: Հայաստանում պաշտպանվում է նաև փաստաբանական գաղտնիքը կամ նոտարական գաղտնիք կամ այլ գաղտնիքներ, որոնց վերաբերյալ իրավունքների սահմանափակումները հանձնաժողովի կողմից </w:t>
            </w:r>
            <w:r w:rsidRPr="00E55AE5">
              <w:rPr>
                <w:rFonts w:ascii="GHEA Grapalat" w:eastAsia="Times New Roman" w:hAnsi="GHEA Grapalat" w:cs="Times New Roman"/>
                <w:color w:val="273845"/>
                <w:sz w:val="24"/>
                <w:szCs w:val="24"/>
                <w:lang w:eastAsia="en-GB"/>
              </w:rPr>
              <w:lastRenderedPageBreak/>
              <w:t>հակասահամնադրական են և հակասում են անձանց իրավաբանական օգնություն ստանալու իրավունքին: Ավելին, նշվածը նաև վիճելի է այն փաստարկից ելնելով, որ ներկայիս նախագիծը, ըստ էության, քողարկված քրեական վարույթի սահմանում է:</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15E1572"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Ընդունվել է ի գիտություն</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169656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Հանձնաժողովը չի կարող հասանելիություն ունենալ միայն բացարձակ անձեռնմխելիություն ունեցող տեղեկություններին։ Բացի այդ, օրենքով պահպանվող գաղտնիքի պահպանման Հանձնաժողովի պարտականությունը կարգավորված է Նախագծի 45-րդ հոդվածով:</w:t>
            </w:r>
          </w:p>
        </w:tc>
      </w:tr>
      <w:tr w:rsidR="000F2FA5" w:rsidRPr="00E55AE5" w14:paraId="588DF7F6"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71613EF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15</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AB8DD09"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«Հայաստանի Իրավական Պաշտպանության Կոմիտե» Իրավապաշտպան ՀԿ</w:t>
            </w:r>
            <w:r w:rsidRPr="00E55AE5">
              <w:rPr>
                <w:rFonts w:ascii="RobotoSlab-regular" w:eastAsia="Times New Roman" w:hAnsi="RobotoSlab-regular" w:cs="Times New Roman"/>
                <w:color w:val="4B5C6A"/>
                <w:sz w:val="21"/>
                <w:szCs w:val="21"/>
                <w:bdr w:val="none" w:sz="0" w:space="0" w:color="auto" w:frame="1"/>
                <w:lang w:eastAsia="en-GB"/>
              </w:rPr>
              <w:t>04.06.2020 22:05:18</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10481F4"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Օրենքի առաջարկվող նախագծով նախատեսված չէ ապրանքային շուկայի սահմանափակումը հաշվի առնելով համացանցը: Նշենք, որ նախագծով որպես ապրանքային շուկա օրենքով հաշվի է առնում տարածքները, այնինչ 21-րդ դարում համացանցի հնարավորություններից ելնելով շուկայական հարաբերությունները չեն կարող չափվել տարածքով՝ օրինակ համակարգչային ծրագրեր, խաղեր, ինտերնետային ծառայություններ և այլն: Առաջարկում են ապրանքային շուկա-յի սահմանման ժամանակ հաշվի առնել համացանցը:</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04FA45C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052EE55"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Նախագծում սահմանված «ապրանքային շուկա» հասկացությունը թույլ է տալիս որոշել նաև էլեկտրոնային ապրանքների ապրանքային շուկան: Հարկ է նշել, որ էլեկտրոնային ապրանքները ևս կարող են ունենալ դրանց տարածման աշխարհագրական սահմանափակումներ:</w:t>
            </w:r>
          </w:p>
        </w:tc>
      </w:tr>
      <w:tr w:rsidR="000F2FA5" w:rsidRPr="00E55AE5" w14:paraId="38724552"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596E8456"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16</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7FD7CDA0"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Hakob Abrahamyan</w:t>
            </w:r>
            <w:r w:rsidRPr="00E55AE5">
              <w:rPr>
                <w:rFonts w:ascii="RobotoSlab-regular" w:eastAsia="Times New Roman" w:hAnsi="RobotoSlab-regular" w:cs="Times New Roman"/>
                <w:color w:val="4B5C6A"/>
                <w:sz w:val="21"/>
                <w:szCs w:val="21"/>
                <w:bdr w:val="none" w:sz="0" w:space="0" w:color="auto" w:frame="1"/>
                <w:lang w:eastAsia="en-GB"/>
              </w:rPr>
              <w:t>04.06.2020 23:18:12</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4F8730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Առաջին խնդիրը վերաբերում է Հանձնաժողովի տուգանման հայեցողական լիազորությունների կանոնաարգմանը: Այսպես, ինչպես </w:t>
            </w:r>
            <w:r w:rsidRPr="00E55AE5">
              <w:rPr>
                <w:rFonts w:ascii="GHEA Grapalat" w:eastAsia="Times New Roman" w:hAnsi="GHEA Grapalat" w:cs="Times New Roman"/>
                <w:color w:val="273845"/>
                <w:sz w:val="24"/>
                <w:szCs w:val="24"/>
                <w:lang w:eastAsia="en-GB"/>
              </w:rPr>
              <w:lastRenderedPageBreak/>
              <w:t xml:space="preserve">գործող օրենքով, այնպես էլ սույն նախագծի 89-րդ հոդվածի 10-րդ մասի համաձայն տնտեսվարող սուբյեկտի կողմից Հանձնաժողովի նախագահի գրությամբ կամ Հանձնաժողովի որոշմամբ կամ օրենսդրությամբ սահմանված փաստաթղթեր կամ այլ տեղեկատվություն սահմանված ժամկետում չներկայացնելու կամ ոչ հավաստի կամ ոչ ամբողջական տեղեկություններ ներկայացնելու համար նշանակվող տուգանքի չափը կազմում է մինչև հինգ միլիոն դրամ: Աշխատանքի բերումով բամաթիվ անգամներ պաշտպանել եմ մանր և միջին ընկերությունների շահերը Հանձնաժողովում, որոնք դիմել են մեզ անհամարժեք պատասխանատվության միջոցների կիրառման համար, քանի որ մոնոպոլիաները թողած փոքր ընկերություններին տուգանել են մեկ-երկու օր ուշացումով տեղեկատվության ներկայացման կամ էլ ընկերությունում չեղած տեղեկատվությունը չներկայացնելու համար: Այս առումով նախ պետք է նշել, որ օրենքով Հանձնաժողովը ունի հայեցողական մեծ </w:t>
            </w:r>
            <w:r w:rsidRPr="00E55AE5">
              <w:rPr>
                <w:rFonts w:ascii="GHEA Grapalat" w:eastAsia="Times New Roman" w:hAnsi="GHEA Grapalat" w:cs="Times New Roman"/>
                <w:color w:val="273845"/>
                <w:sz w:val="24"/>
                <w:szCs w:val="24"/>
                <w:lang w:eastAsia="en-GB"/>
              </w:rPr>
              <w:lastRenderedPageBreak/>
              <w:t xml:space="preserve">լիազորություններ, ի տարբերություն հարկային և նմանօրինակ այլ մարմինների, որոնց կողմից սահմանված հաշվետվության և ձևերն են հայտնի, և ժամկետները, պահանջելու ցանկացած բնույթի տեղեկատվություն և դրա համար սահմանելու հաճախ որևէ տրամաբանությամբ չպայմանավորված ժամկետներ: Այս առումով տպավորություն է ստացվում, որ Հանձնաժողովը պահանջում է այնպիսի տեղեկատվություն, ինչը մի կողմից դուրս է օրենսդրութայն պահանջներից, մյուս կողմից հանդիսանում է Հանձնաժողովի անդամների անձնական հետարքրքրության օբյեկտ: Վերը նշվածի հետևանքով տնտեսվարող սուբյեկտները չեն կարողանում ներկայացնել պահանջվող տեղեկատվությունը, քանի որ մի կողմից նման տեղեկատվության չեն տիրապետում, մյուս կողմից եթե որոշ դեպքերում տիրապետում են, ապա չեն կարողանում ներկայացնել սահմանված կարճ ժամկետներում: Սա իրականում բիզնեսի համար շատ մեծ բեռ է, երբ գործ ունենք փոքր և </w:t>
            </w:r>
            <w:r w:rsidRPr="00E55AE5">
              <w:rPr>
                <w:rFonts w:ascii="GHEA Grapalat" w:eastAsia="Times New Roman" w:hAnsi="GHEA Grapalat" w:cs="Times New Roman"/>
                <w:color w:val="273845"/>
                <w:sz w:val="24"/>
                <w:szCs w:val="24"/>
                <w:lang w:eastAsia="en-GB"/>
              </w:rPr>
              <w:lastRenderedPageBreak/>
              <w:t xml:space="preserve">միջին չափի ընկերությունների հետ, որոնք չունեն համապատասխան մասնագետներ, պահանջվող բնույթի հաշվառում չեն իրականացնում և ստիված են իրենց հիմնական գործունեության փոխարեն, Հանձնաժողովի ոլորտային ուսումնասիրությունների համար մեծ ծավալի աշխատանքներ կատարել՝ տեղեկատվությունը ուշացնելու կամ չներկայացնելու համար հայտնվելով երկարարտև վարչական վարույթների պրոցեսում և ստիպված լինելով կատարել մեծ ծախսեր: Այս առումով անհրաժեշտ է սահմանել, որ Հանձնաժողովը կարող է պահանջել միայն այնպիսի տեղեկատվություն, որոնք օրենսդրությամբ սահմանված է մեր երկրում: Նման խնդիրների արդիականության վերաբերյալ կարող ենք համոզվել Հանձնաժողովի կայքում դիտարկելով որոշումները, որոնք վերաբերում են տեղեկատվության ուշացմանը կամ չներկայացմանը: Դրանք հիմնականում մոնոպոլիաների դեմ պայքարին չեն վերաբերում, այլ գործող փոքր և միջին ընկերություններին, որոնք մրցակցության օրենսդրության </w:t>
            </w:r>
            <w:r w:rsidRPr="00E55AE5">
              <w:rPr>
                <w:rFonts w:ascii="GHEA Grapalat" w:eastAsia="Times New Roman" w:hAnsi="GHEA Grapalat" w:cs="Times New Roman"/>
                <w:color w:val="273845"/>
                <w:sz w:val="24"/>
                <w:szCs w:val="24"/>
                <w:lang w:eastAsia="en-GB"/>
              </w:rPr>
              <w:lastRenderedPageBreak/>
              <w:t>խախտումներ չեն իրականացրել: Արդյունքում առաջարկում ենք 89-րդ հոդվածի 10-րդ մասը սահմանել հետևյալ խմբագրությամբ. ՀՀ օրենսդրության հիման վրա սահմանված ձևաչափով հաշվառում իրականացնող անձանցից այդ հաշվառման շրջանակներում հանձնաժողովի նախագահի գրությամբ կամ Հանձնաժողովի որոշմամբ փաստաթղթեր կամ տեղեկատվություն սահմանված ժամկետում չներկայացնելու կամ ոչ հավաստի կամ ոչ ամբողջական տեղեկություններ ներկայացնելու համար նշանակվող տուգանքի չափը կազմում է մինչև հինգ միլիոն դրամ:</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1A61AFC8"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30A1562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Հանձնաժողովի կողմից հարցվող տեղեկությունները և դրանց տրամադրման կարգն ու ժամկետները հնարավոր չէ </w:t>
            </w:r>
            <w:r w:rsidRPr="00E55AE5">
              <w:rPr>
                <w:rFonts w:ascii="GHEA Grapalat" w:eastAsia="Times New Roman" w:hAnsi="GHEA Grapalat" w:cs="Times New Roman"/>
                <w:color w:val="273845"/>
                <w:sz w:val="24"/>
                <w:szCs w:val="24"/>
                <w:lang w:eastAsia="en-GB"/>
              </w:rPr>
              <w:lastRenderedPageBreak/>
              <w:t>սպառիչ ցանկով նախատեսել` Հանձնաժողովի կողմից իրականացվող վարույթների բազմաբնույթ և անկանխատեսելի լինելու պատճառով:</w:t>
            </w:r>
          </w:p>
        </w:tc>
      </w:tr>
      <w:tr w:rsidR="000F2FA5" w:rsidRPr="00E55AE5" w14:paraId="20723897" w14:textId="77777777" w:rsidTr="000F2FA5">
        <w:tc>
          <w:tcPr>
            <w:tcW w:w="0" w:type="auto"/>
            <w:tcBorders>
              <w:top w:val="single" w:sz="6" w:space="0" w:color="939393"/>
              <w:left w:val="single" w:sz="6" w:space="0" w:color="939393"/>
              <w:bottom w:val="single" w:sz="6" w:space="0" w:color="939393"/>
              <w:right w:val="single" w:sz="6" w:space="0" w:color="939393"/>
            </w:tcBorders>
            <w:shd w:val="clear" w:color="auto" w:fill="EFF0F6"/>
            <w:tcMar>
              <w:top w:w="75" w:type="dxa"/>
              <w:left w:w="120" w:type="dxa"/>
              <w:bottom w:w="75" w:type="dxa"/>
              <w:right w:w="120" w:type="dxa"/>
            </w:tcMar>
            <w:hideMark/>
          </w:tcPr>
          <w:p w14:paraId="12DA3501"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17</w:t>
            </w:r>
          </w:p>
        </w:tc>
        <w:tc>
          <w:tcPr>
            <w:tcW w:w="2546"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58303583" w14:textId="77777777" w:rsidR="000F2FA5" w:rsidRPr="00E55AE5" w:rsidRDefault="000F2FA5" w:rsidP="000F2FA5">
            <w:pPr>
              <w:spacing w:after="0" w:line="240" w:lineRule="auto"/>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Hakob Abrahamyan</w:t>
            </w:r>
            <w:r w:rsidRPr="00E55AE5">
              <w:rPr>
                <w:rFonts w:ascii="RobotoSlab-regular" w:eastAsia="Times New Roman" w:hAnsi="RobotoSlab-regular" w:cs="Times New Roman"/>
                <w:color w:val="4B5C6A"/>
                <w:sz w:val="21"/>
                <w:szCs w:val="21"/>
                <w:bdr w:val="none" w:sz="0" w:space="0" w:color="auto" w:frame="1"/>
                <w:lang w:eastAsia="en-GB"/>
              </w:rPr>
              <w:t>04.06.2020 23:19:32</w:t>
            </w:r>
          </w:p>
        </w:tc>
        <w:tc>
          <w:tcPr>
            <w:tcW w:w="443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4C81CDBD"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 xml:space="preserve">Հաջորդը վերաբերում է Հանձնաժողովի որոշումների, ծանուցումների կամ այլ փաստաթղթերի ուղարկելու (հանձնելու) կարգին: Նախագծով սահմանվում են նոր ընթացակարգեր և դրույթներ, որոնք խնդրահարույց են և բինեսի համար դառնալու են էական գլխացավանք: Մասնավորապես նախագծի 48-րդ հոդվածի 10-րդ մասի համաձայն սահմանված է «Հասցեատերերը </w:t>
            </w:r>
            <w:r w:rsidRPr="00E55AE5">
              <w:rPr>
                <w:rFonts w:ascii="GHEA Grapalat" w:eastAsia="Times New Roman" w:hAnsi="GHEA Grapalat" w:cs="Times New Roman"/>
                <w:color w:val="273845"/>
                <w:sz w:val="24"/>
                <w:szCs w:val="24"/>
                <w:lang w:eastAsia="en-GB"/>
              </w:rPr>
              <w:lastRenderedPageBreak/>
              <w:t xml:space="preserve">պարտավոր են Հանձնաժողովին անհապաղ հայտնել իրենց հասցեի, ներառյալ՝ էլեկտրոնային փոստի հասցեի կամ հաղորդակցության այլ միջոցի փոփոխության մասին: Նման հաղորդման բացակայության դեպքում թղթակցությունն ուղարկվում է այն հասցեով կամ հաղորդակցության միջոցով, որով կատարվել է թղթակցության հանձնումը, և հասցեատիրոջ վերջին հայտնի հասցեով ուղարկվելու ուժով համարվում է պատշաճ հանձնված:» Վերը նշվածը ըստ էության սահմանում է հազարավոր բիզնեսներ, անկախ դա մոնոպոլիա է, փոքր և միջին ընկերություն, թե ընտանեկան բիզնես, հասցեների (ներառյալ՝ էլեկտրոնային փոստի հասցեի կամ հաղորդակցության այլ միջոցի) փոփոխության դեպքում պարտավոր են դրա մասին իրազեկել Հանձնաժողովի: Նման որևէ պահանջի սահմանումը նախ անիրագործելի է, քանի որ բիզնեսն ազատ է մեր երկրում ցանկացած վայրում գործունեություն իրականացնել, ցանկացած պահի փոփոխել դրա վայրը և հասցեները՝ ելնելով շուկայի իրավիճակից: Այս </w:t>
            </w:r>
            <w:r w:rsidRPr="00E55AE5">
              <w:rPr>
                <w:rFonts w:ascii="GHEA Grapalat" w:eastAsia="Times New Roman" w:hAnsi="GHEA Grapalat" w:cs="Times New Roman"/>
                <w:color w:val="273845"/>
                <w:sz w:val="24"/>
                <w:szCs w:val="24"/>
                <w:lang w:eastAsia="en-GB"/>
              </w:rPr>
              <w:lastRenderedPageBreak/>
              <w:t xml:space="preserve">դեպքում ստացվում է, որ հազարավոր բիզնեսներ պետք է իրենց բիզնեսների հասցեների փոփոխության դեպքում տեղյակ պահեն Հանձնաժողովին: Բիզնեսներ, որոնք Հանձնաժողովի հետ որևէ կերպ չեն առնչվում, փոքր ընկերություններ են, Հանձնաժողովի գոյության վերաբերյալ տեղյակ էլ չեն, Հանձնաժողովը կարող է ինչ-որ մի պատճառով սկսել ոլորտային ուսումնասիրություն և նրանցից պահանջել տեղեկատվություն: Այս դեպքում ստացվում է, որ Հանձնաժողովը կարող է գրությունը տեղեկատվության ստացման համար ուղարկել մի հասցեով, որտեղ ընկերությունը գործունեություն այլևս չի իրականացնում, փաստացի չստանալով գրությունը՝ համարվել ծանուցված և տեղեկատվության չտրամադրելու համար տուգանվել մինչև 5 միլիոն դրամի չափով: Վերը նշվածը ոչ միայն հակասում է բարենպաստ բիզնես միջավայրի ձևավորման կառավարության որդեգրած հայեցակարգին, այլ նաև հակաիրավական է: Բացի այդ նախագծի 48-րդ հոդվածի 11-րդ մասի համաձայն սահմանված է . </w:t>
            </w:r>
            <w:r w:rsidRPr="00E55AE5">
              <w:rPr>
                <w:rFonts w:ascii="GHEA Grapalat" w:eastAsia="Times New Roman" w:hAnsi="GHEA Grapalat" w:cs="Times New Roman"/>
                <w:color w:val="273845"/>
                <w:sz w:val="24"/>
                <w:szCs w:val="24"/>
                <w:lang w:eastAsia="en-GB"/>
              </w:rPr>
              <w:lastRenderedPageBreak/>
              <w:t xml:space="preserve">«Այն դեպքում, երբ հասցեատերը հրաժարվում է փոստային առաքմամբ ուղարկված թղթակցությունն ստանալուց կամ թղթակցության ստացումը հավաստող փաստաթուղթը ստորագրելուց, կամ որևէ պատճառով Հանձնաժողովի կողմից պատվիրված նամակով ուղարկված թղթակցությունը վերադարձվում է, ապա թղթակցությունը համարվում է հասցեատիրոջը պատշաճ հանձնված Հանձնաժողովի կողմից http://www.azdarar.am հասցեում և իր պաշտոնական կայքում հասցեատիրոջը հասցեագրված թղթակցության առկայության և դրա բովանդակությանը ծանոթանալու հնարավորության վերաբերյալ հայտարարություններից վերջինը հրապարակելու օրվան հաջորդող օրվանից հաշված երրորդ օրը:» Նշենք, որ փաստային առաքմամբ ուղարկված գրությունները կարող են վերադարձվել օրինակ ընկերության տեղափոխված լինելու, հասցեն փակ լինելու և այլ պատճառներով: Պատճառներ, որոնք չեն վերաբերում նամակները միտումնավոր չստացմանը, այլ ունեն օբյեկտիվ </w:t>
            </w:r>
            <w:r w:rsidRPr="00E55AE5">
              <w:rPr>
                <w:rFonts w:ascii="GHEA Grapalat" w:eastAsia="Times New Roman" w:hAnsi="GHEA Grapalat" w:cs="Times New Roman"/>
                <w:color w:val="273845"/>
                <w:sz w:val="24"/>
                <w:szCs w:val="24"/>
                <w:lang w:eastAsia="en-GB"/>
              </w:rPr>
              <w:lastRenderedPageBreak/>
              <w:t>բնույթ: Ստացվում է, որ փոքր և միջին բիզնեսի ընկերությունները կարող են տուգանվել տեղեկատվությունը չներկայացնելու համար՝ տեղյակ չլինելով անգամ դրանց գոյության վերաբերյալ: Հարկ է հատկապես ընդգծել, որ ի տարբերություն այլ փաստաթղթերի, որոնց հրապարակումը http://www.azdarar.am կայքում, համարվում է ծանուցված, այս դեպքում դեռևս որևէ իրավախախտում ընկերությունը թույլ չի տվել, գործ ունենք, ըստ էության, բարեխիղճ տնտեսվարող սուբյեկտի հետ, որը սակայն անկախ իր կամքից և գիտենալուց կարող է դառնալ անբարեխիղճ: Վերը նշվածը հաշվի առնելով առաջարկվում է նախագծից հանել 48-րդ հոդվածի 10-րդ և 11-րդ մասերը:</w:t>
            </w:r>
          </w:p>
        </w:tc>
        <w:tc>
          <w:tcPr>
            <w:tcW w:w="2571"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2ABE9BC3"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lastRenderedPageBreak/>
              <w:t>Չի ընդունվել</w:t>
            </w:r>
          </w:p>
        </w:tc>
        <w:tc>
          <w:tcPr>
            <w:tcW w:w="4192" w:type="dxa"/>
            <w:tcBorders>
              <w:top w:val="single" w:sz="6" w:space="0" w:color="939393"/>
              <w:left w:val="single" w:sz="6" w:space="0" w:color="939393"/>
              <w:bottom w:val="single" w:sz="6" w:space="0" w:color="939393"/>
              <w:right w:val="single" w:sz="6" w:space="0" w:color="939393"/>
            </w:tcBorders>
            <w:shd w:val="clear" w:color="auto" w:fill="FFFFFF"/>
            <w:tcMar>
              <w:top w:w="75" w:type="dxa"/>
              <w:left w:w="120" w:type="dxa"/>
              <w:bottom w:w="75" w:type="dxa"/>
              <w:right w:w="120" w:type="dxa"/>
            </w:tcMar>
            <w:hideMark/>
          </w:tcPr>
          <w:p w14:paraId="6D6A41FB" w14:textId="77777777" w:rsidR="000F2FA5" w:rsidRPr="00E55AE5" w:rsidRDefault="000F2FA5" w:rsidP="000F2FA5">
            <w:pPr>
              <w:spacing w:after="0" w:line="240" w:lineRule="auto"/>
              <w:jc w:val="center"/>
              <w:rPr>
                <w:rFonts w:ascii="GHEA Grapalat" w:eastAsia="Times New Roman" w:hAnsi="GHEA Grapalat" w:cs="Times New Roman"/>
                <w:color w:val="273845"/>
                <w:sz w:val="24"/>
                <w:szCs w:val="24"/>
                <w:lang w:eastAsia="en-GB"/>
              </w:rPr>
            </w:pPr>
            <w:r w:rsidRPr="00E55AE5">
              <w:rPr>
                <w:rFonts w:ascii="GHEA Grapalat" w:eastAsia="Times New Roman" w:hAnsi="GHEA Grapalat" w:cs="Times New Roman"/>
                <w:color w:val="273845"/>
                <w:sz w:val="24"/>
                <w:szCs w:val="24"/>
                <w:lang w:eastAsia="en-GB"/>
              </w:rPr>
              <w:t>Նախագծի 48-րդ հոդվածի 10-րդ մասի կարգավորումները վերաբերում են ոչ թե անորոշ շրջանակի անձանց, այլ Հանձնաժողովի հետ գրագրության մեջ գտնվող անձանց, իսկ նույն հոդվածի 11-րդ մասի հետ կապված հարկ է նշել, որ տնտեսվարող սուբյեկտը պետք է կրի իր գտնվելու վայրի հասցեով ուղարկված թղթակցությունը չստանալու ռիսկը։</w:t>
            </w:r>
          </w:p>
        </w:tc>
      </w:tr>
    </w:tbl>
    <w:p w14:paraId="58F1BCD0" w14:textId="77777777" w:rsidR="000F2FA5" w:rsidRDefault="000F2FA5" w:rsidP="000F2FA5"/>
    <w:p w14:paraId="698FD5FA" w14:textId="77777777" w:rsidR="00E178D4" w:rsidRPr="000F2FA5" w:rsidRDefault="00E178D4" w:rsidP="000F2FA5">
      <w:pPr>
        <w:jc w:val="center"/>
        <w:rPr>
          <w:rFonts w:ascii="GHEA Grapalat" w:hAnsi="GHEA Grapalat"/>
          <w:sz w:val="24"/>
          <w:szCs w:val="24"/>
        </w:rPr>
      </w:pPr>
    </w:p>
    <w:sectPr w:rsidR="00E178D4" w:rsidRPr="000F2FA5" w:rsidSect="00E178D4">
      <w:footerReference w:type="default" r:id="rId8"/>
      <w:pgSz w:w="15840" w:h="12240" w:orient="landscape"/>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7595B" w14:textId="77777777" w:rsidR="00F32B06" w:rsidRDefault="00F32B06" w:rsidP="00995354">
      <w:pPr>
        <w:spacing w:after="0" w:line="240" w:lineRule="auto"/>
      </w:pPr>
      <w:r>
        <w:separator/>
      </w:r>
    </w:p>
  </w:endnote>
  <w:endnote w:type="continuationSeparator" w:id="0">
    <w:p w14:paraId="552F3937" w14:textId="77777777" w:rsidR="00F32B06" w:rsidRDefault="00F32B06" w:rsidP="00995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obotoSlab-regula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145814"/>
      <w:docPartObj>
        <w:docPartGallery w:val="Page Numbers (Bottom of Page)"/>
        <w:docPartUnique/>
      </w:docPartObj>
    </w:sdtPr>
    <w:sdtEndPr/>
    <w:sdtContent>
      <w:p w14:paraId="340E56F9" w14:textId="227C58C8" w:rsidR="00A51AD2" w:rsidRDefault="00A51AD2">
        <w:pPr>
          <w:pStyle w:val="Footer"/>
          <w:jc w:val="center"/>
        </w:pPr>
        <w:r>
          <w:fldChar w:fldCharType="begin"/>
        </w:r>
        <w:r>
          <w:instrText>PAGE   \* MERGEFORMAT</w:instrText>
        </w:r>
        <w:r>
          <w:fldChar w:fldCharType="separate"/>
        </w:r>
        <w:r w:rsidR="001E303E" w:rsidRPr="001E303E">
          <w:rPr>
            <w:noProof/>
            <w:lang w:val="ru-RU"/>
          </w:rPr>
          <w:t>1</w:t>
        </w:r>
        <w:r>
          <w:fldChar w:fldCharType="end"/>
        </w:r>
      </w:p>
    </w:sdtContent>
  </w:sdt>
  <w:p w14:paraId="252B5F88" w14:textId="77777777" w:rsidR="00A51AD2" w:rsidRDefault="00A51AD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FFC63" w14:textId="77777777" w:rsidR="00F32B06" w:rsidRDefault="00F32B06" w:rsidP="00995354">
      <w:pPr>
        <w:spacing w:after="0" w:line="240" w:lineRule="auto"/>
      </w:pPr>
      <w:r>
        <w:separator/>
      </w:r>
    </w:p>
  </w:footnote>
  <w:footnote w:type="continuationSeparator" w:id="0">
    <w:p w14:paraId="6128737B" w14:textId="77777777" w:rsidR="00F32B06" w:rsidRDefault="00F32B06" w:rsidP="00995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58FA"/>
    <w:multiLevelType w:val="hybridMultilevel"/>
    <w:tmpl w:val="BC209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F2B42"/>
    <w:multiLevelType w:val="hybridMultilevel"/>
    <w:tmpl w:val="272403A8"/>
    <w:lvl w:ilvl="0" w:tplc="736A1A58">
      <w:start w:val="1"/>
      <w:numFmt w:val="decimal"/>
      <w:lvlText w:val="%1."/>
      <w:lvlJc w:val="left"/>
      <w:pPr>
        <w:ind w:left="720" w:hanging="360"/>
      </w:pPr>
      <w:rPr>
        <w:rFonts w:ascii="GHEA Grapalat" w:eastAsia="Times New Roman" w:hAnsi="GHEA Grapalat" w:cs="Times New Roman" w:hint="default"/>
        <w:color w:val="273845"/>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7346B"/>
    <w:multiLevelType w:val="hybridMultilevel"/>
    <w:tmpl w:val="4E464F94"/>
    <w:lvl w:ilvl="0" w:tplc="580890CA">
      <w:start w:val="1"/>
      <w:numFmt w:val="decimal"/>
      <w:lvlText w:val="%1."/>
      <w:lvlJc w:val="left"/>
      <w:pPr>
        <w:ind w:left="900" w:hanging="360"/>
      </w:pPr>
      <w:rPr>
        <w:rFonts w:cs="Arial"/>
        <w:i w:val="0"/>
        <w:color w:val="auto"/>
      </w:rPr>
    </w:lvl>
    <w:lvl w:ilvl="1" w:tplc="04090019">
      <w:start w:val="1"/>
      <w:numFmt w:val="lowerLetter"/>
      <w:lvlText w:val="%2."/>
      <w:lvlJc w:val="left"/>
      <w:pPr>
        <w:ind w:left="1791" w:hanging="360"/>
      </w:pPr>
    </w:lvl>
    <w:lvl w:ilvl="2" w:tplc="0409001B">
      <w:start w:val="1"/>
      <w:numFmt w:val="lowerRoman"/>
      <w:lvlText w:val="%3."/>
      <w:lvlJc w:val="right"/>
      <w:pPr>
        <w:ind w:left="2511" w:hanging="180"/>
      </w:pPr>
    </w:lvl>
    <w:lvl w:ilvl="3" w:tplc="0409000F">
      <w:start w:val="1"/>
      <w:numFmt w:val="decimal"/>
      <w:lvlText w:val="%4."/>
      <w:lvlJc w:val="left"/>
      <w:pPr>
        <w:ind w:left="3231" w:hanging="360"/>
      </w:pPr>
    </w:lvl>
    <w:lvl w:ilvl="4" w:tplc="04090019">
      <w:start w:val="1"/>
      <w:numFmt w:val="lowerLetter"/>
      <w:lvlText w:val="%5."/>
      <w:lvlJc w:val="left"/>
      <w:pPr>
        <w:ind w:left="3951" w:hanging="360"/>
      </w:pPr>
    </w:lvl>
    <w:lvl w:ilvl="5" w:tplc="0409001B">
      <w:start w:val="1"/>
      <w:numFmt w:val="lowerRoman"/>
      <w:lvlText w:val="%6."/>
      <w:lvlJc w:val="right"/>
      <w:pPr>
        <w:ind w:left="4671" w:hanging="180"/>
      </w:pPr>
    </w:lvl>
    <w:lvl w:ilvl="6" w:tplc="0409000F">
      <w:start w:val="1"/>
      <w:numFmt w:val="decimal"/>
      <w:lvlText w:val="%7."/>
      <w:lvlJc w:val="left"/>
      <w:pPr>
        <w:ind w:left="5391" w:hanging="360"/>
      </w:pPr>
    </w:lvl>
    <w:lvl w:ilvl="7" w:tplc="04090019">
      <w:start w:val="1"/>
      <w:numFmt w:val="lowerLetter"/>
      <w:lvlText w:val="%8."/>
      <w:lvlJc w:val="left"/>
      <w:pPr>
        <w:ind w:left="6111" w:hanging="360"/>
      </w:pPr>
    </w:lvl>
    <w:lvl w:ilvl="8" w:tplc="0409001B">
      <w:start w:val="1"/>
      <w:numFmt w:val="lowerRoman"/>
      <w:lvlText w:val="%9."/>
      <w:lvlJc w:val="right"/>
      <w:pPr>
        <w:ind w:left="6831" w:hanging="180"/>
      </w:pPr>
    </w:lvl>
  </w:abstractNum>
  <w:abstractNum w:abstractNumId="3" w15:restartNumberingAfterBreak="0">
    <w:nsid w:val="11326C47"/>
    <w:multiLevelType w:val="hybridMultilevel"/>
    <w:tmpl w:val="F1247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047D8"/>
    <w:multiLevelType w:val="hybridMultilevel"/>
    <w:tmpl w:val="AC0E3AB8"/>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A1025C"/>
    <w:multiLevelType w:val="hybridMultilevel"/>
    <w:tmpl w:val="C21099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591813"/>
    <w:multiLevelType w:val="hybridMultilevel"/>
    <w:tmpl w:val="C0DA1A10"/>
    <w:lvl w:ilvl="0" w:tplc="D2603D36">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27979CD"/>
    <w:multiLevelType w:val="multilevel"/>
    <w:tmpl w:val="766A1BD0"/>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D12FAE"/>
    <w:multiLevelType w:val="hybridMultilevel"/>
    <w:tmpl w:val="54BE5E66"/>
    <w:lvl w:ilvl="0" w:tplc="553AFCBC">
      <w:start w:val="1"/>
      <w:numFmt w:val="decimal"/>
      <w:lvlText w:val="%1."/>
      <w:lvlJc w:val="left"/>
      <w:pPr>
        <w:ind w:left="389" w:hanging="360"/>
      </w:pPr>
      <w:rPr>
        <w:rFonts w:ascii="GHEA Grapalat" w:eastAsia="Times New Roman" w:hAnsi="GHEA Grapalat" w:cs="Times New Roman" w:hint="default"/>
        <w:color w:val="273845"/>
        <w:sz w:val="20"/>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9" w15:restartNumberingAfterBreak="0">
    <w:nsid w:val="36F92583"/>
    <w:multiLevelType w:val="hybridMultilevel"/>
    <w:tmpl w:val="1F568A66"/>
    <w:lvl w:ilvl="0" w:tplc="7EAC0AA0">
      <w:start w:val="21"/>
      <w:numFmt w:val="decimal"/>
      <w:lvlText w:val="%1."/>
      <w:lvlJc w:val="left"/>
      <w:pPr>
        <w:ind w:left="1260" w:hanging="360"/>
      </w:pPr>
      <w:rPr>
        <w:rFonts w:cs="Sylfae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39E42FA6"/>
    <w:multiLevelType w:val="hybridMultilevel"/>
    <w:tmpl w:val="17E61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FE07EA"/>
    <w:multiLevelType w:val="hybridMultilevel"/>
    <w:tmpl w:val="3EC47762"/>
    <w:lvl w:ilvl="0" w:tplc="4C4EB10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1C60B5C"/>
    <w:multiLevelType w:val="hybridMultilevel"/>
    <w:tmpl w:val="4C40C206"/>
    <w:lvl w:ilvl="0" w:tplc="FEB632B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44227C78"/>
    <w:multiLevelType w:val="hybridMultilevel"/>
    <w:tmpl w:val="D1125D14"/>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556E9"/>
    <w:multiLevelType w:val="hybridMultilevel"/>
    <w:tmpl w:val="AC84F0C2"/>
    <w:lvl w:ilvl="0" w:tplc="BF4A070C">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487404"/>
    <w:multiLevelType w:val="hybridMultilevel"/>
    <w:tmpl w:val="EDA2F8C0"/>
    <w:lvl w:ilvl="0" w:tplc="A1EEDA80">
      <w:start w:val="1"/>
      <w:numFmt w:val="decimal"/>
      <w:lvlText w:val="%1."/>
      <w:lvlJc w:val="left"/>
      <w:pPr>
        <w:ind w:left="720" w:hanging="360"/>
      </w:pPr>
      <w:rPr>
        <w:rFonts w:ascii="GHEA Grapalat" w:eastAsia="Times New Roman" w:hAnsi="GHEA Grapalat"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BF0C6B"/>
    <w:multiLevelType w:val="hybridMultilevel"/>
    <w:tmpl w:val="D4567D6E"/>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6"/>
  </w:num>
  <w:num w:numId="4">
    <w:abstractNumId w:val="11"/>
  </w:num>
  <w:num w:numId="5">
    <w:abstractNumId w:val="0"/>
  </w:num>
  <w:num w:numId="6">
    <w:abstractNumId w:val="1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7"/>
  </w:num>
  <w:num w:numId="11">
    <w:abstractNumId w:val="9"/>
  </w:num>
  <w:num w:numId="12">
    <w:abstractNumId w:val="5"/>
  </w:num>
  <w:num w:numId="13">
    <w:abstractNumId w:val="4"/>
  </w:num>
  <w:num w:numId="14">
    <w:abstractNumId w:val="1"/>
  </w:num>
  <w:num w:numId="15">
    <w:abstractNumId w:val="15"/>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B4E"/>
    <w:rsid w:val="00002EDE"/>
    <w:rsid w:val="00005984"/>
    <w:rsid w:val="000064F7"/>
    <w:rsid w:val="00006B24"/>
    <w:rsid w:val="0000741F"/>
    <w:rsid w:val="000074A3"/>
    <w:rsid w:val="000113C4"/>
    <w:rsid w:val="00012A27"/>
    <w:rsid w:val="000140EE"/>
    <w:rsid w:val="00024899"/>
    <w:rsid w:val="000266BF"/>
    <w:rsid w:val="00030DBB"/>
    <w:rsid w:val="00035BA3"/>
    <w:rsid w:val="00036B70"/>
    <w:rsid w:val="00037013"/>
    <w:rsid w:val="00041347"/>
    <w:rsid w:val="00042B8B"/>
    <w:rsid w:val="0004338D"/>
    <w:rsid w:val="0004731B"/>
    <w:rsid w:val="00052A14"/>
    <w:rsid w:val="00053624"/>
    <w:rsid w:val="000603FF"/>
    <w:rsid w:val="0006095F"/>
    <w:rsid w:val="00063C97"/>
    <w:rsid w:val="00072AEB"/>
    <w:rsid w:val="00080C55"/>
    <w:rsid w:val="00084EC7"/>
    <w:rsid w:val="000A32D7"/>
    <w:rsid w:val="000B3F28"/>
    <w:rsid w:val="000B5F35"/>
    <w:rsid w:val="000B6F3B"/>
    <w:rsid w:val="000C17B1"/>
    <w:rsid w:val="000C5C50"/>
    <w:rsid w:val="000D0FC3"/>
    <w:rsid w:val="000E2966"/>
    <w:rsid w:val="000E4690"/>
    <w:rsid w:val="000E545A"/>
    <w:rsid w:val="000E6AE1"/>
    <w:rsid w:val="000F188C"/>
    <w:rsid w:val="000F2637"/>
    <w:rsid w:val="000F2FA5"/>
    <w:rsid w:val="000F3C61"/>
    <w:rsid w:val="0010413D"/>
    <w:rsid w:val="001054EB"/>
    <w:rsid w:val="00110AC0"/>
    <w:rsid w:val="00110DC5"/>
    <w:rsid w:val="0011153E"/>
    <w:rsid w:val="001171E2"/>
    <w:rsid w:val="001259A1"/>
    <w:rsid w:val="00126715"/>
    <w:rsid w:val="00126771"/>
    <w:rsid w:val="001272FD"/>
    <w:rsid w:val="001301E1"/>
    <w:rsid w:val="0015127E"/>
    <w:rsid w:val="00151F20"/>
    <w:rsid w:val="00152DB7"/>
    <w:rsid w:val="0015497E"/>
    <w:rsid w:val="00157921"/>
    <w:rsid w:val="0016064A"/>
    <w:rsid w:val="00175623"/>
    <w:rsid w:val="0018045B"/>
    <w:rsid w:val="001909BF"/>
    <w:rsid w:val="00192E76"/>
    <w:rsid w:val="001934AE"/>
    <w:rsid w:val="00195AA8"/>
    <w:rsid w:val="001B5A41"/>
    <w:rsid w:val="001C003D"/>
    <w:rsid w:val="001C1AF9"/>
    <w:rsid w:val="001C243F"/>
    <w:rsid w:val="001D1353"/>
    <w:rsid w:val="001D3AC6"/>
    <w:rsid w:val="001D561A"/>
    <w:rsid w:val="001D7E69"/>
    <w:rsid w:val="001E303E"/>
    <w:rsid w:val="001E596D"/>
    <w:rsid w:val="001E757B"/>
    <w:rsid w:val="001E7A42"/>
    <w:rsid w:val="001F6FDC"/>
    <w:rsid w:val="00206FF2"/>
    <w:rsid w:val="002100CF"/>
    <w:rsid w:val="00213030"/>
    <w:rsid w:val="00231A51"/>
    <w:rsid w:val="00232695"/>
    <w:rsid w:val="00240EE7"/>
    <w:rsid w:val="00241A8C"/>
    <w:rsid w:val="00241E09"/>
    <w:rsid w:val="00242ABA"/>
    <w:rsid w:val="00260C94"/>
    <w:rsid w:val="00261DF8"/>
    <w:rsid w:val="00263867"/>
    <w:rsid w:val="00266747"/>
    <w:rsid w:val="002742C0"/>
    <w:rsid w:val="00286C27"/>
    <w:rsid w:val="002914F6"/>
    <w:rsid w:val="00292288"/>
    <w:rsid w:val="00295BB0"/>
    <w:rsid w:val="002B15E3"/>
    <w:rsid w:val="002B6802"/>
    <w:rsid w:val="002C0DC2"/>
    <w:rsid w:val="002D0F8C"/>
    <w:rsid w:val="002D4605"/>
    <w:rsid w:val="002E6CB4"/>
    <w:rsid w:val="00304DE9"/>
    <w:rsid w:val="0031430C"/>
    <w:rsid w:val="00316F66"/>
    <w:rsid w:val="0032048F"/>
    <w:rsid w:val="003212E7"/>
    <w:rsid w:val="00330537"/>
    <w:rsid w:val="003318DE"/>
    <w:rsid w:val="00345D65"/>
    <w:rsid w:val="00347725"/>
    <w:rsid w:val="00354E0A"/>
    <w:rsid w:val="0036086F"/>
    <w:rsid w:val="00365227"/>
    <w:rsid w:val="00370612"/>
    <w:rsid w:val="003734CA"/>
    <w:rsid w:val="00373D3E"/>
    <w:rsid w:val="00377215"/>
    <w:rsid w:val="003817E2"/>
    <w:rsid w:val="003819C6"/>
    <w:rsid w:val="0038225F"/>
    <w:rsid w:val="00385137"/>
    <w:rsid w:val="00394287"/>
    <w:rsid w:val="0039434B"/>
    <w:rsid w:val="003978B6"/>
    <w:rsid w:val="003A2DF9"/>
    <w:rsid w:val="003B2753"/>
    <w:rsid w:val="003B38C1"/>
    <w:rsid w:val="003B6D75"/>
    <w:rsid w:val="003B7B1F"/>
    <w:rsid w:val="003C5664"/>
    <w:rsid w:val="003C5FB5"/>
    <w:rsid w:val="003D1CB8"/>
    <w:rsid w:val="003D3AC3"/>
    <w:rsid w:val="003D6582"/>
    <w:rsid w:val="003E0F18"/>
    <w:rsid w:val="003E0F7F"/>
    <w:rsid w:val="003E752F"/>
    <w:rsid w:val="003F2655"/>
    <w:rsid w:val="003F34AC"/>
    <w:rsid w:val="004014D3"/>
    <w:rsid w:val="004029FC"/>
    <w:rsid w:val="0041157D"/>
    <w:rsid w:val="00417A2E"/>
    <w:rsid w:val="004216BE"/>
    <w:rsid w:val="00426781"/>
    <w:rsid w:val="00432922"/>
    <w:rsid w:val="004374BA"/>
    <w:rsid w:val="004443E2"/>
    <w:rsid w:val="004464C7"/>
    <w:rsid w:val="00460D04"/>
    <w:rsid w:val="0046235B"/>
    <w:rsid w:val="004637D0"/>
    <w:rsid w:val="004708E5"/>
    <w:rsid w:val="004727E4"/>
    <w:rsid w:val="00472A37"/>
    <w:rsid w:val="00474FF3"/>
    <w:rsid w:val="00476798"/>
    <w:rsid w:val="00485E95"/>
    <w:rsid w:val="00490362"/>
    <w:rsid w:val="004A3DCB"/>
    <w:rsid w:val="004B0514"/>
    <w:rsid w:val="004B5F9A"/>
    <w:rsid w:val="004B773F"/>
    <w:rsid w:val="004C07F4"/>
    <w:rsid w:val="004C0967"/>
    <w:rsid w:val="004C0B9C"/>
    <w:rsid w:val="004C78C1"/>
    <w:rsid w:val="004D17C1"/>
    <w:rsid w:val="004D5B59"/>
    <w:rsid w:val="004D6601"/>
    <w:rsid w:val="004E2652"/>
    <w:rsid w:val="004E5FF7"/>
    <w:rsid w:val="004E6126"/>
    <w:rsid w:val="004E71E7"/>
    <w:rsid w:val="004E7285"/>
    <w:rsid w:val="004F0365"/>
    <w:rsid w:val="004F2B14"/>
    <w:rsid w:val="004F3C9A"/>
    <w:rsid w:val="004F56A8"/>
    <w:rsid w:val="004F75A7"/>
    <w:rsid w:val="005032A9"/>
    <w:rsid w:val="0050376E"/>
    <w:rsid w:val="00503F13"/>
    <w:rsid w:val="00507A60"/>
    <w:rsid w:val="00510D1B"/>
    <w:rsid w:val="00512BF3"/>
    <w:rsid w:val="00514FE9"/>
    <w:rsid w:val="005213E1"/>
    <w:rsid w:val="005325E1"/>
    <w:rsid w:val="00536527"/>
    <w:rsid w:val="00556119"/>
    <w:rsid w:val="00561CEA"/>
    <w:rsid w:val="005644DA"/>
    <w:rsid w:val="00564D62"/>
    <w:rsid w:val="005671ED"/>
    <w:rsid w:val="005679BD"/>
    <w:rsid w:val="00577EEB"/>
    <w:rsid w:val="00580496"/>
    <w:rsid w:val="00581581"/>
    <w:rsid w:val="005841A3"/>
    <w:rsid w:val="00591441"/>
    <w:rsid w:val="00594D95"/>
    <w:rsid w:val="00596C88"/>
    <w:rsid w:val="005A12BC"/>
    <w:rsid w:val="005A3E26"/>
    <w:rsid w:val="005A7633"/>
    <w:rsid w:val="005B121F"/>
    <w:rsid w:val="005B4009"/>
    <w:rsid w:val="005B66A1"/>
    <w:rsid w:val="005C0702"/>
    <w:rsid w:val="005D08F7"/>
    <w:rsid w:val="005D1AE0"/>
    <w:rsid w:val="005D2B84"/>
    <w:rsid w:val="005D588D"/>
    <w:rsid w:val="005E0466"/>
    <w:rsid w:val="005E259C"/>
    <w:rsid w:val="005E5426"/>
    <w:rsid w:val="005F06A7"/>
    <w:rsid w:val="005F1C7B"/>
    <w:rsid w:val="005F24AF"/>
    <w:rsid w:val="005F33FC"/>
    <w:rsid w:val="005F5C65"/>
    <w:rsid w:val="006107CE"/>
    <w:rsid w:val="006117EB"/>
    <w:rsid w:val="00616C02"/>
    <w:rsid w:val="00617BC8"/>
    <w:rsid w:val="0063118B"/>
    <w:rsid w:val="006412D7"/>
    <w:rsid w:val="00641F0C"/>
    <w:rsid w:val="006468B6"/>
    <w:rsid w:val="00650D80"/>
    <w:rsid w:val="00652381"/>
    <w:rsid w:val="006530A8"/>
    <w:rsid w:val="00653A18"/>
    <w:rsid w:val="00655CDC"/>
    <w:rsid w:val="00656FCE"/>
    <w:rsid w:val="00657F8E"/>
    <w:rsid w:val="00673D6C"/>
    <w:rsid w:val="006827D6"/>
    <w:rsid w:val="006838E0"/>
    <w:rsid w:val="006968F2"/>
    <w:rsid w:val="006A0C59"/>
    <w:rsid w:val="006C1C5B"/>
    <w:rsid w:val="006C5FB3"/>
    <w:rsid w:val="006D090E"/>
    <w:rsid w:val="006D1760"/>
    <w:rsid w:val="006D3324"/>
    <w:rsid w:val="006D6682"/>
    <w:rsid w:val="006E10F4"/>
    <w:rsid w:val="006E29D1"/>
    <w:rsid w:val="006F0DE1"/>
    <w:rsid w:val="006F16A0"/>
    <w:rsid w:val="006F285D"/>
    <w:rsid w:val="006F3213"/>
    <w:rsid w:val="006F34A1"/>
    <w:rsid w:val="00712B4E"/>
    <w:rsid w:val="0071787C"/>
    <w:rsid w:val="0072511A"/>
    <w:rsid w:val="007400D9"/>
    <w:rsid w:val="00740A70"/>
    <w:rsid w:val="007424CB"/>
    <w:rsid w:val="00747D3F"/>
    <w:rsid w:val="00767425"/>
    <w:rsid w:val="0076793D"/>
    <w:rsid w:val="00772D56"/>
    <w:rsid w:val="00773AE2"/>
    <w:rsid w:val="00774FAE"/>
    <w:rsid w:val="00775B9C"/>
    <w:rsid w:val="0078014F"/>
    <w:rsid w:val="00780428"/>
    <w:rsid w:val="00782747"/>
    <w:rsid w:val="00786E39"/>
    <w:rsid w:val="00793C1C"/>
    <w:rsid w:val="0079758A"/>
    <w:rsid w:val="007A23E4"/>
    <w:rsid w:val="007B1EC5"/>
    <w:rsid w:val="007C12BF"/>
    <w:rsid w:val="007C7A48"/>
    <w:rsid w:val="007D3067"/>
    <w:rsid w:val="007D5963"/>
    <w:rsid w:val="007D692C"/>
    <w:rsid w:val="007D6CD3"/>
    <w:rsid w:val="007E0617"/>
    <w:rsid w:val="007E265D"/>
    <w:rsid w:val="007E3EDB"/>
    <w:rsid w:val="007F2566"/>
    <w:rsid w:val="007F6BB7"/>
    <w:rsid w:val="0080095F"/>
    <w:rsid w:val="008026E7"/>
    <w:rsid w:val="0080748F"/>
    <w:rsid w:val="0082192C"/>
    <w:rsid w:val="0082308D"/>
    <w:rsid w:val="00823BD5"/>
    <w:rsid w:val="008328D8"/>
    <w:rsid w:val="00832E6D"/>
    <w:rsid w:val="0083695D"/>
    <w:rsid w:val="00837E7E"/>
    <w:rsid w:val="00850C7F"/>
    <w:rsid w:val="00850DB0"/>
    <w:rsid w:val="00851513"/>
    <w:rsid w:val="00855798"/>
    <w:rsid w:val="00855EC8"/>
    <w:rsid w:val="00860124"/>
    <w:rsid w:val="008611A3"/>
    <w:rsid w:val="008629FE"/>
    <w:rsid w:val="00863CFE"/>
    <w:rsid w:val="0086641F"/>
    <w:rsid w:val="00870FD0"/>
    <w:rsid w:val="00871B1A"/>
    <w:rsid w:val="008835B4"/>
    <w:rsid w:val="008854D3"/>
    <w:rsid w:val="00887549"/>
    <w:rsid w:val="00890FD8"/>
    <w:rsid w:val="00891F2A"/>
    <w:rsid w:val="00893B73"/>
    <w:rsid w:val="008A08A0"/>
    <w:rsid w:val="008A20D7"/>
    <w:rsid w:val="008A285B"/>
    <w:rsid w:val="008A7B43"/>
    <w:rsid w:val="008C703E"/>
    <w:rsid w:val="008D21BD"/>
    <w:rsid w:val="008D3457"/>
    <w:rsid w:val="008E3015"/>
    <w:rsid w:val="008E334A"/>
    <w:rsid w:val="008F392F"/>
    <w:rsid w:val="0090133C"/>
    <w:rsid w:val="00906E43"/>
    <w:rsid w:val="0091329D"/>
    <w:rsid w:val="009133D7"/>
    <w:rsid w:val="009158D9"/>
    <w:rsid w:val="00925308"/>
    <w:rsid w:val="009345B4"/>
    <w:rsid w:val="00950CDB"/>
    <w:rsid w:val="0096458F"/>
    <w:rsid w:val="00966C5C"/>
    <w:rsid w:val="00971031"/>
    <w:rsid w:val="0097151E"/>
    <w:rsid w:val="0097348E"/>
    <w:rsid w:val="009738D8"/>
    <w:rsid w:val="00992E7E"/>
    <w:rsid w:val="00995354"/>
    <w:rsid w:val="0099698F"/>
    <w:rsid w:val="00997433"/>
    <w:rsid w:val="00997849"/>
    <w:rsid w:val="009A182B"/>
    <w:rsid w:val="009A3DD6"/>
    <w:rsid w:val="009A44FA"/>
    <w:rsid w:val="009A6F69"/>
    <w:rsid w:val="009B4868"/>
    <w:rsid w:val="009C104E"/>
    <w:rsid w:val="009C111E"/>
    <w:rsid w:val="009C3396"/>
    <w:rsid w:val="009C5D79"/>
    <w:rsid w:val="009D2BD7"/>
    <w:rsid w:val="009D3023"/>
    <w:rsid w:val="009E69D1"/>
    <w:rsid w:val="009F01C7"/>
    <w:rsid w:val="009F1174"/>
    <w:rsid w:val="009F5068"/>
    <w:rsid w:val="009F6A8C"/>
    <w:rsid w:val="009F6D51"/>
    <w:rsid w:val="00A00F4C"/>
    <w:rsid w:val="00A01A4B"/>
    <w:rsid w:val="00A0474B"/>
    <w:rsid w:val="00A04876"/>
    <w:rsid w:val="00A37846"/>
    <w:rsid w:val="00A4242A"/>
    <w:rsid w:val="00A43E87"/>
    <w:rsid w:val="00A47414"/>
    <w:rsid w:val="00A50C8C"/>
    <w:rsid w:val="00A51AD2"/>
    <w:rsid w:val="00A66EFA"/>
    <w:rsid w:val="00A700A7"/>
    <w:rsid w:val="00A762CF"/>
    <w:rsid w:val="00A90C85"/>
    <w:rsid w:val="00A9499C"/>
    <w:rsid w:val="00AA0EE0"/>
    <w:rsid w:val="00AA1164"/>
    <w:rsid w:val="00AA1569"/>
    <w:rsid w:val="00AA2332"/>
    <w:rsid w:val="00AA37B4"/>
    <w:rsid w:val="00AB1F40"/>
    <w:rsid w:val="00AB621C"/>
    <w:rsid w:val="00AC2AEA"/>
    <w:rsid w:val="00AC3197"/>
    <w:rsid w:val="00AC3BC2"/>
    <w:rsid w:val="00AC7CD5"/>
    <w:rsid w:val="00AD315D"/>
    <w:rsid w:val="00AD5004"/>
    <w:rsid w:val="00AD6ACC"/>
    <w:rsid w:val="00AF5F59"/>
    <w:rsid w:val="00AF667E"/>
    <w:rsid w:val="00B13538"/>
    <w:rsid w:val="00B15BBF"/>
    <w:rsid w:val="00B16A87"/>
    <w:rsid w:val="00B16CF9"/>
    <w:rsid w:val="00B22B5D"/>
    <w:rsid w:val="00B25A6A"/>
    <w:rsid w:val="00B2741F"/>
    <w:rsid w:val="00B275F5"/>
    <w:rsid w:val="00B35AC9"/>
    <w:rsid w:val="00B4001A"/>
    <w:rsid w:val="00B407D1"/>
    <w:rsid w:val="00B43700"/>
    <w:rsid w:val="00B439D2"/>
    <w:rsid w:val="00B4705D"/>
    <w:rsid w:val="00B4744C"/>
    <w:rsid w:val="00B52B69"/>
    <w:rsid w:val="00B52D83"/>
    <w:rsid w:val="00B5385F"/>
    <w:rsid w:val="00B620CB"/>
    <w:rsid w:val="00B66433"/>
    <w:rsid w:val="00B678E2"/>
    <w:rsid w:val="00B71900"/>
    <w:rsid w:val="00B7253D"/>
    <w:rsid w:val="00B76615"/>
    <w:rsid w:val="00B82AC3"/>
    <w:rsid w:val="00B847C8"/>
    <w:rsid w:val="00B857D3"/>
    <w:rsid w:val="00B87DB6"/>
    <w:rsid w:val="00B931AD"/>
    <w:rsid w:val="00B97E08"/>
    <w:rsid w:val="00BA008B"/>
    <w:rsid w:val="00BB0A91"/>
    <w:rsid w:val="00BB6F66"/>
    <w:rsid w:val="00BB7EAC"/>
    <w:rsid w:val="00BC0A84"/>
    <w:rsid w:val="00BC2885"/>
    <w:rsid w:val="00BD7A85"/>
    <w:rsid w:val="00BE2CE1"/>
    <w:rsid w:val="00BE75CE"/>
    <w:rsid w:val="00BF2D90"/>
    <w:rsid w:val="00C05892"/>
    <w:rsid w:val="00C10A58"/>
    <w:rsid w:val="00C12AFD"/>
    <w:rsid w:val="00C17939"/>
    <w:rsid w:val="00C31148"/>
    <w:rsid w:val="00C406C3"/>
    <w:rsid w:val="00C44EFF"/>
    <w:rsid w:val="00C47D12"/>
    <w:rsid w:val="00C52174"/>
    <w:rsid w:val="00C56D31"/>
    <w:rsid w:val="00C63650"/>
    <w:rsid w:val="00C73444"/>
    <w:rsid w:val="00C740B4"/>
    <w:rsid w:val="00C80CB9"/>
    <w:rsid w:val="00C949E0"/>
    <w:rsid w:val="00CA155B"/>
    <w:rsid w:val="00CA1804"/>
    <w:rsid w:val="00CA4A9C"/>
    <w:rsid w:val="00CB2E0C"/>
    <w:rsid w:val="00CB5354"/>
    <w:rsid w:val="00CB5B55"/>
    <w:rsid w:val="00CB61B8"/>
    <w:rsid w:val="00CC0A2C"/>
    <w:rsid w:val="00CC210D"/>
    <w:rsid w:val="00CC2CD0"/>
    <w:rsid w:val="00CC7EC3"/>
    <w:rsid w:val="00CD0674"/>
    <w:rsid w:val="00CD10F8"/>
    <w:rsid w:val="00CE0557"/>
    <w:rsid w:val="00CF2139"/>
    <w:rsid w:val="00CF55B6"/>
    <w:rsid w:val="00D2365B"/>
    <w:rsid w:val="00D24E40"/>
    <w:rsid w:val="00D30658"/>
    <w:rsid w:val="00D30F27"/>
    <w:rsid w:val="00D349A4"/>
    <w:rsid w:val="00D464FD"/>
    <w:rsid w:val="00D5403F"/>
    <w:rsid w:val="00D56942"/>
    <w:rsid w:val="00D575B4"/>
    <w:rsid w:val="00D62463"/>
    <w:rsid w:val="00D823A8"/>
    <w:rsid w:val="00D83CF0"/>
    <w:rsid w:val="00DA051A"/>
    <w:rsid w:val="00DA2B9C"/>
    <w:rsid w:val="00DA4783"/>
    <w:rsid w:val="00DB7BE6"/>
    <w:rsid w:val="00DD0823"/>
    <w:rsid w:val="00DD3501"/>
    <w:rsid w:val="00DD350E"/>
    <w:rsid w:val="00DE7549"/>
    <w:rsid w:val="00DF68F3"/>
    <w:rsid w:val="00E0395B"/>
    <w:rsid w:val="00E178D4"/>
    <w:rsid w:val="00E20059"/>
    <w:rsid w:val="00E23641"/>
    <w:rsid w:val="00E3013B"/>
    <w:rsid w:val="00E34516"/>
    <w:rsid w:val="00E34B8B"/>
    <w:rsid w:val="00E507D9"/>
    <w:rsid w:val="00E5124F"/>
    <w:rsid w:val="00E744C5"/>
    <w:rsid w:val="00E84055"/>
    <w:rsid w:val="00E930F6"/>
    <w:rsid w:val="00E97AB0"/>
    <w:rsid w:val="00EA14B8"/>
    <w:rsid w:val="00EA1AA0"/>
    <w:rsid w:val="00EA3DA8"/>
    <w:rsid w:val="00EA4660"/>
    <w:rsid w:val="00EA4EC7"/>
    <w:rsid w:val="00EA504D"/>
    <w:rsid w:val="00EB0163"/>
    <w:rsid w:val="00EB026B"/>
    <w:rsid w:val="00EB2669"/>
    <w:rsid w:val="00EB417F"/>
    <w:rsid w:val="00EC2121"/>
    <w:rsid w:val="00EE629A"/>
    <w:rsid w:val="00EE6478"/>
    <w:rsid w:val="00EE666E"/>
    <w:rsid w:val="00F147BD"/>
    <w:rsid w:val="00F266B5"/>
    <w:rsid w:val="00F3135D"/>
    <w:rsid w:val="00F321F6"/>
    <w:rsid w:val="00F32B06"/>
    <w:rsid w:val="00F3578A"/>
    <w:rsid w:val="00F37324"/>
    <w:rsid w:val="00F50EA8"/>
    <w:rsid w:val="00F52AE7"/>
    <w:rsid w:val="00F53425"/>
    <w:rsid w:val="00F54F67"/>
    <w:rsid w:val="00F559A8"/>
    <w:rsid w:val="00F576BB"/>
    <w:rsid w:val="00F60D7E"/>
    <w:rsid w:val="00F62B37"/>
    <w:rsid w:val="00F64289"/>
    <w:rsid w:val="00F97938"/>
    <w:rsid w:val="00FA0524"/>
    <w:rsid w:val="00FA4100"/>
    <w:rsid w:val="00FB2745"/>
    <w:rsid w:val="00FB37D8"/>
    <w:rsid w:val="00FC330E"/>
    <w:rsid w:val="00FC410F"/>
    <w:rsid w:val="00FD1D58"/>
    <w:rsid w:val="00FD26D7"/>
    <w:rsid w:val="00FD7233"/>
    <w:rsid w:val="00FF48D7"/>
    <w:rsid w:val="00FF7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89AA6"/>
  <w15:docId w15:val="{542634CD-109B-45C0-A22A-B8AD553A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62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362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3624"/>
    <w:pPr>
      <w:ind w:left="720"/>
      <w:contextualSpacing/>
    </w:pPr>
  </w:style>
  <w:style w:type="paragraph" w:styleId="BalloonText">
    <w:name w:val="Balloon Text"/>
    <w:basedOn w:val="Normal"/>
    <w:link w:val="BalloonTextChar"/>
    <w:uiPriority w:val="99"/>
    <w:semiHidden/>
    <w:unhideWhenUsed/>
    <w:rsid w:val="00053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624"/>
    <w:rPr>
      <w:rFonts w:ascii="Segoe UI" w:hAnsi="Segoe UI" w:cs="Segoe UI"/>
      <w:sz w:val="18"/>
      <w:szCs w:val="18"/>
      <w:lang w:val="en-US"/>
    </w:rPr>
  </w:style>
  <w:style w:type="paragraph" w:customStyle="1" w:styleId="Default">
    <w:name w:val="Default"/>
    <w:rsid w:val="00053624"/>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Strong">
    <w:name w:val="Strong"/>
    <w:basedOn w:val="DefaultParagraphFont"/>
    <w:uiPriority w:val="22"/>
    <w:qFormat/>
    <w:rsid w:val="00175623"/>
    <w:rPr>
      <w:b/>
      <w:bCs/>
    </w:rPr>
  </w:style>
  <w:style w:type="paragraph" w:styleId="Header">
    <w:name w:val="header"/>
    <w:basedOn w:val="Normal"/>
    <w:link w:val="HeaderChar"/>
    <w:uiPriority w:val="99"/>
    <w:unhideWhenUsed/>
    <w:rsid w:val="00995354"/>
    <w:pPr>
      <w:tabs>
        <w:tab w:val="center" w:pos="4677"/>
        <w:tab w:val="right" w:pos="9355"/>
      </w:tabs>
      <w:spacing w:after="0" w:line="240" w:lineRule="auto"/>
    </w:pPr>
  </w:style>
  <w:style w:type="character" w:customStyle="1" w:styleId="HeaderChar">
    <w:name w:val="Header Char"/>
    <w:basedOn w:val="DefaultParagraphFont"/>
    <w:link w:val="Header"/>
    <w:uiPriority w:val="99"/>
    <w:rsid w:val="00995354"/>
    <w:rPr>
      <w:lang w:val="en-US"/>
    </w:rPr>
  </w:style>
  <w:style w:type="paragraph" w:styleId="Footer">
    <w:name w:val="footer"/>
    <w:basedOn w:val="Normal"/>
    <w:link w:val="FooterChar"/>
    <w:uiPriority w:val="99"/>
    <w:unhideWhenUsed/>
    <w:rsid w:val="00995354"/>
    <w:pPr>
      <w:tabs>
        <w:tab w:val="center" w:pos="4677"/>
        <w:tab w:val="right" w:pos="9355"/>
      </w:tabs>
      <w:spacing w:after="0" w:line="240" w:lineRule="auto"/>
    </w:pPr>
  </w:style>
  <w:style w:type="character" w:customStyle="1" w:styleId="FooterChar">
    <w:name w:val="Footer Char"/>
    <w:basedOn w:val="DefaultParagraphFont"/>
    <w:link w:val="Footer"/>
    <w:uiPriority w:val="99"/>
    <w:rsid w:val="00995354"/>
    <w:rPr>
      <w:lang w:val="en-US"/>
    </w:rPr>
  </w:style>
  <w:style w:type="paragraph" w:styleId="NormalWeb">
    <w:name w:val="Normal (Web)"/>
    <w:basedOn w:val="Normal"/>
    <w:uiPriority w:val="99"/>
    <w:unhideWhenUsed/>
    <w:rsid w:val="001D13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9D2BD7"/>
  </w:style>
  <w:style w:type="character" w:styleId="SubtleReference">
    <w:name w:val="Subtle Reference"/>
    <w:basedOn w:val="DefaultParagraphFont"/>
    <w:uiPriority w:val="31"/>
    <w:qFormat/>
    <w:rsid w:val="00C63650"/>
    <w:rPr>
      <w:smallCaps/>
      <w:color w:val="5A5A5A" w:themeColor="text1" w:themeTint="A5"/>
    </w:rPr>
  </w:style>
  <w:style w:type="character" w:styleId="CommentReference">
    <w:name w:val="annotation reference"/>
    <w:basedOn w:val="DefaultParagraphFont"/>
    <w:uiPriority w:val="99"/>
    <w:semiHidden/>
    <w:unhideWhenUsed/>
    <w:rsid w:val="006C1C5B"/>
    <w:rPr>
      <w:sz w:val="16"/>
      <w:szCs w:val="16"/>
    </w:rPr>
  </w:style>
  <w:style w:type="paragraph" w:styleId="CommentText">
    <w:name w:val="annotation text"/>
    <w:basedOn w:val="Normal"/>
    <w:link w:val="CommentTextChar"/>
    <w:uiPriority w:val="99"/>
    <w:semiHidden/>
    <w:unhideWhenUsed/>
    <w:rsid w:val="006C1C5B"/>
    <w:pPr>
      <w:spacing w:line="240" w:lineRule="auto"/>
    </w:pPr>
    <w:rPr>
      <w:sz w:val="20"/>
      <w:szCs w:val="20"/>
    </w:rPr>
  </w:style>
  <w:style w:type="character" w:customStyle="1" w:styleId="CommentTextChar">
    <w:name w:val="Comment Text Char"/>
    <w:basedOn w:val="DefaultParagraphFont"/>
    <w:link w:val="CommentText"/>
    <w:uiPriority w:val="99"/>
    <w:semiHidden/>
    <w:rsid w:val="006C1C5B"/>
    <w:rPr>
      <w:sz w:val="20"/>
      <w:szCs w:val="20"/>
      <w:lang w:val="en-US"/>
    </w:rPr>
  </w:style>
  <w:style w:type="paragraph" w:styleId="CommentSubject">
    <w:name w:val="annotation subject"/>
    <w:basedOn w:val="CommentText"/>
    <w:next w:val="CommentText"/>
    <w:link w:val="CommentSubjectChar"/>
    <w:uiPriority w:val="99"/>
    <w:semiHidden/>
    <w:unhideWhenUsed/>
    <w:rsid w:val="006C1C5B"/>
    <w:rPr>
      <w:b/>
      <w:bCs/>
    </w:rPr>
  </w:style>
  <w:style w:type="character" w:customStyle="1" w:styleId="CommentSubjectChar">
    <w:name w:val="Comment Subject Char"/>
    <w:basedOn w:val="CommentTextChar"/>
    <w:link w:val="CommentSubject"/>
    <w:uiPriority w:val="99"/>
    <w:semiHidden/>
    <w:rsid w:val="006C1C5B"/>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823901">
      <w:bodyDiv w:val="1"/>
      <w:marLeft w:val="0"/>
      <w:marRight w:val="0"/>
      <w:marTop w:val="0"/>
      <w:marBottom w:val="0"/>
      <w:divBdr>
        <w:top w:val="none" w:sz="0" w:space="0" w:color="auto"/>
        <w:left w:val="none" w:sz="0" w:space="0" w:color="auto"/>
        <w:bottom w:val="none" w:sz="0" w:space="0" w:color="auto"/>
        <w:right w:val="none" w:sz="0" w:space="0" w:color="auto"/>
      </w:divBdr>
    </w:div>
    <w:div w:id="929965283">
      <w:bodyDiv w:val="1"/>
      <w:marLeft w:val="0"/>
      <w:marRight w:val="0"/>
      <w:marTop w:val="0"/>
      <w:marBottom w:val="0"/>
      <w:divBdr>
        <w:top w:val="none" w:sz="0" w:space="0" w:color="auto"/>
        <w:left w:val="none" w:sz="0" w:space="0" w:color="auto"/>
        <w:bottom w:val="none" w:sz="0" w:space="0" w:color="auto"/>
        <w:right w:val="none" w:sz="0" w:space="0" w:color="auto"/>
      </w:divBdr>
    </w:div>
    <w:div w:id="1138642994">
      <w:bodyDiv w:val="1"/>
      <w:marLeft w:val="0"/>
      <w:marRight w:val="0"/>
      <w:marTop w:val="0"/>
      <w:marBottom w:val="0"/>
      <w:divBdr>
        <w:top w:val="none" w:sz="0" w:space="0" w:color="auto"/>
        <w:left w:val="none" w:sz="0" w:space="0" w:color="auto"/>
        <w:bottom w:val="none" w:sz="0" w:space="0" w:color="auto"/>
        <w:right w:val="none" w:sz="0" w:space="0" w:color="auto"/>
      </w:divBdr>
    </w:div>
    <w:div w:id="156961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A3DD1-8B52-4CCB-A684-A99DC9652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5645</TotalTime>
  <Pages>99</Pages>
  <Words>17007</Words>
  <Characters>96942</Characters>
  <Application>Microsoft Office Word</Application>
  <DocSecurity>0</DocSecurity>
  <Lines>807</Lines>
  <Paragraphs>227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Hovhannes</cp:lastModifiedBy>
  <cp:revision>9</cp:revision>
  <dcterms:created xsi:type="dcterms:W3CDTF">2020-06-05T08:20:00Z</dcterms:created>
  <dcterms:modified xsi:type="dcterms:W3CDTF">2020-09-11T13:36:00Z</dcterms:modified>
</cp:coreProperties>
</file>