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BBB495" w14:textId="77777777" w:rsidR="0030753D" w:rsidRPr="0030753D" w:rsidRDefault="0030753D" w:rsidP="0030753D">
      <w:pPr>
        <w:spacing w:after="0"/>
        <w:jc w:val="center"/>
        <w:rPr>
          <w:rFonts w:ascii="GHEA Grapalat" w:hAnsi="GHEA Grapalat"/>
          <w:b/>
          <w:sz w:val="24"/>
          <w:szCs w:val="24"/>
          <w:lang w:val="hy-AM"/>
        </w:rPr>
      </w:pPr>
      <w:r w:rsidRPr="0030753D">
        <w:rPr>
          <w:rFonts w:ascii="GHEA Grapalat" w:hAnsi="GHEA Grapalat"/>
          <w:b/>
          <w:sz w:val="24"/>
          <w:szCs w:val="24"/>
          <w:lang w:val="hy-AM"/>
        </w:rPr>
        <w:t>ԱՄՓՈՓԱԹԵՐԹ</w:t>
      </w:r>
    </w:p>
    <w:p w14:paraId="460B64F0" w14:textId="77777777" w:rsidR="0030753D" w:rsidRPr="0030753D" w:rsidRDefault="0030753D" w:rsidP="0030753D">
      <w:pPr>
        <w:spacing w:after="0"/>
        <w:jc w:val="center"/>
        <w:rPr>
          <w:rFonts w:ascii="GHEA Grapalat" w:eastAsia="Times New Roman" w:hAnsi="GHEA Grapalat" w:cs="GHEA Grapalat"/>
          <w:b/>
          <w:bCs/>
          <w:sz w:val="24"/>
          <w:szCs w:val="24"/>
          <w:bdr w:val="none" w:sz="0" w:space="0" w:color="auto" w:frame="1"/>
          <w:lang w:val="hy-AM"/>
        </w:rPr>
      </w:pPr>
      <w:r w:rsidRPr="0030753D">
        <w:rPr>
          <w:rFonts w:ascii="GHEA Grapalat" w:eastAsia="Times New Roman" w:hAnsi="GHEA Grapalat" w:cs="Times New Roman"/>
          <w:b/>
          <w:bCs/>
          <w:sz w:val="24"/>
          <w:szCs w:val="24"/>
          <w:bdr w:val="none" w:sz="0" w:space="0" w:color="auto" w:frame="1"/>
          <w:lang w:val="hy-AM"/>
        </w:rPr>
        <w:t>«ՏՆՏԵՍԱԿԱՆ ՄՐՑԱԿՑՈՒԹՅԱՆ ՊԱՇՏՊԱՆՈՒԹՅԱՆ ՄԱՍԻՆ»</w:t>
      </w:r>
      <w:r w:rsidRPr="0030753D">
        <w:rPr>
          <w:rFonts w:ascii="GHEA Grapalat" w:eastAsia="Times New Roman" w:hAnsi="GHEA Grapalat" w:cs="Calibri"/>
          <w:b/>
          <w:bCs/>
          <w:sz w:val="24"/>
          <w:szCs w:val="24"/>
          <w:bdr w:val="none" w:sz="0" w:space="0" w:color="auto" w:frame="1"/>
          <w:lang w:val="hy-AM"/>
        </w:rPr>
        <w:t xml:space="preserve"> </w:t>
      </w:r>
      <w:r w:rsidRPr="0030753D">
        <w:rPr>
          <w:rFonts w:ascii="GHEA Grapalat" w:eastAsia="Times New Roman" w:hAnsi="GHEA Grapalat" w:cs="GHEA Grapalat"/>
          <w:b/>
          <w:bCs/>
          <w:sz w:val="24"/>
          <w:szCs w:val="24"/>
          <w:bdr w:val="none" w:sz="0" w:space="0" w:color="auto" w:frame="1"/>
          <w:lang w:val="hy-AM"/>
        </w:rPr>
        <w:t>ՕՐԵՆՔՈՒՄ</w:t>
      </w:r>
      <w:r w:rsidRPr="0030753D">
        <w:rPr>
          <w:rFonts w:ascii="GHEA Grapalat" w:eastAsia="Times New Roman" w:hAnsi="GHEA Grapalat" w:cs="Calibri"/>
          <w:sz w:val="24"/>
          <w:szCs w:val="24"/>
          <w:lang w:val="hy-AM"/>
        </w:rPr>
        <w:t xml:space="preserve"> </w:t>
      </w:r>
      <w:r w:rsidRPr="0030753D">
        <w:rPr>
          <w:rFonts w:ascii="GHEA Grapalat" w:eastAsia="Times New Roman" w:hAnsi="GHEA Grapalat" w:cs="Times New Roman"/>
          <w:b/>
          <w:bCs/>
          <w:sz w:val="24"/>
          <w:szCs w:val="24"/>
          <w:bdr w:val="none" w:sz="0" w:space="0" w:color="auto" w:frame="1"/>
          <w:lang w:val="hy-AM"/>
        </w:rPr>
        <w:t xml:space="preserve">ՓՈՓՈԽՈՒԹՅՈՒՆ </w:t>
      </w:r>
      <w:r w:rsidRPr="0030753D">
        <w:rPr>
          <w:rFonts w:ascii="GHEA Grapalat" w:eastAsia="Times New Roman" w:hAnsi="GHEA Grapalat" w:cs="GHEA Grapalat"/>
          <w:b/>
          <w:bCs/>
          <w:sz w:val="24"/>
          <w:szCs w:val="24"/>
          <w:bdr w:val="none" w:sz="0" w:space="0" w:color="auto" w:frame="1"/>
          <w:lang w:val="hy-AM"/>
        </w:rPr>
        <w:t>ԿԱՏԱՐԵԼՈՒ</w:t>
      </w:r>
      <w:r w:rsidRPr="0030753D">
        <w:rPr>
          <w:rFonts w:ascii="GHEA Grapalat" w:eastAsia="Times New Roman" w:hAnsi="GHEA Grapalat" w:cs="Times New Roman"/>
          <w:b/>
          <w:bCs/>
          <w:sz w:val="24"/>
          <w:szCs w:val="24"/>
          <w:bdr w:val="none" w:sz="0" w:space="0" w:color="auto" w:frame="1"/>
          <w:lang w:val="hy-AM"/>
        </w:rPr>
        <w:t xml:space="preserve"> </w:t>
      </w:r>
      <w:r w:rsidRPr="0030753D">
        <w:rPr>
          <w:rFonts w:ascii="GHEA Grapalat" w:eastAsia="Times New Roman" w:hAnsi="GHEA Grapalat" w:cs="GHEA Grapalat"/>
          <w:b/>
          <w:bCs/>
          <w:sz w:val="24"/>
          <w:szCs w:val="24"/>
          <w:bdr w:val="none" w:sz="0" w:space="0" w:color="auto" w:frame="1"/>
          <w:lang w:val="hy-AM"/>
        </w:rPr>
        <w:t xml:space="preserve">ՄԱՍԻՆ», «ՀԱՅԱՍՏԱՆԻ ՀԱՆՐԱՊԵՏՈՒԹՅՈՒՆՈՒՄ ՍՏՈՒԳՈՒՄՆԵՐԻ ԿԱԶՄԱԿԵՐՊՄԱՆ ԵՎ ԱՆՑԿԱՑՄԱՆ ՄԱՍԻՆ»  ՕՐԵՆՔՈՒՄ ՓՈՓՈԽՈՒԹՅՈՒՆՆԵՐ ԵՎ ԼՐԱՑՈՒՄՆԵՐ ԿԱՏԱՐԵԼՈՒ ՄԱՍԻՆ», «ՎԱՐՉԱԿԱՆ ԻՐԱՎԱԽԱԽՏՈՒՄՆԵՐԻ ՎԵՐԱԲԵՐՅԱԼ ՀԱՅԱՍՏԱՆԻ ՀԱՆՐԱՊԵՏՈՒԹՅԱՆ ՕՐԵՆՍԳՐՔՈՒՄ ՓՈՓՈԽՈՒԹՅՈՒՆՆԵՐ ԵՎ ԼՐԱՑՈՒՄՆԵՐ ԿԱՏԱՐԵԼՈՒ ՄԱՍԻՆ», «ՀԱՅԱՍՏԱՆԻ ՀԱՆՐԱՊԵՏՈՒԹՅԱՆ ՔՐԵԱԿԱՆ ՕՐԵՆՍԳՐՔՈՒՄ ՓՈՓՈԽՈՒԹՅՈՒՆ ԿԱՏԱՐԵԼՈՒ ՄԱՍԻՆ», «ՕՊԵՐԱՏԻՎ-ՀԵՏԱԽՈՒԶԱԿԱՆ ԳՈՐԾՈՒՆԵՈՒԹՅԱՆ ՄԱՍԻՆ» ՕՐԵՆՔՈՒՄ ԼՐԱՑՈՒՄՆԵՐ ԵՎ ՓՈՓՈԽՈՒԹՅՈՒՆ ԿԱՏԱՐԵԼՈՒ ՄԱՍԻՆ», «ԿԵՆՏՐՈՆԱԿԱՆ ԲԱՆԿԻ ՄԱՍԻՆ» ՕՐԵՆՔՈՒՄ ԼՐԱՑՈՒՄ ԵՎ ՓՈՓՈԽՈՒԹՅՈՒՆՆԵՐ ԿԱՏԱՐԵԼՈՒ ՄԱՍԻՆ», </w:t>
      </w:r>
      <w:r w:rsidRPr="0030753D">
        <w:rPr>
          <w:rFonts w:ascii="GHEA Grapalat" w:eastAsia="Times New Roman" w:hAnsi="GHEA Grapalat" w:cs="Times New Roman"/>
          <w:b/>
          <w:bCs/>
          <w:color w:val="000000"/>
          <w:sz w:val="24"/>
          <w:szCs w:val="24"/>
          <w:lang w:val="hy-AM"/>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ՓՈՓՈԽՈՒԹՅՈՒՆՆԵՐ ԵՎ ԼՐԱՑՈՒՄՆԵՐ ԿԱՏԱՐԵԼՈՒ ՄԱՍԻՆ», «ԴԱՏԱԿԱՆ ԱԿՏԵՐԻ ՀԱՐԿԱԴԻՐ ԿԱՏԱՐՄԱՆ ՄԱՍԻՆ» ՕՐԵՆՔՈՒՄ ԼՐԱՑՈՒՄՆԵՐ ԿԱՏԱՐԵԼՈՒ ՄԱՍԻՆ»,</w:t>
      </w:r>
      <w:r w:rsidRPr="0030753D">
        <w:rPr>
          <w:rFonts w:ascii="GHEA Grapalat" w:eastAsia="Times New Roman" w:hAnsi="GHEA Grapalat" w:cs="GHEA Grapalat"/>
          <w:b/>
          <w:bCs/>
          <w:sz w:val="24"/>
          <w:szCs w:val="24"/>
          <w:bdr w:val="none" w:sz="0" w:space="0" w:color="auto" w:frame="1"/>
          <w:lang w:val="hy-AM"/>
        </w:rPr>
        <w:t xml:space="preserve"> « ՀԱՅԱՍՏԱՆԻ ՀԱՆՐԱՊԵՏՈՒԹՅԱՆ ՔԱՂԱՔԱՑԻԱԿԱՆ ՕՐԵՆՍԳՐՔՈՒՄ ՓՈՓՈԽՈՒԹՅՈՒՆՆԵՐ ԿԱՏԱՐԵԼՈՒ ՄԱՍԻՆ», «ԷԼԵԿՏՐՈՆԱՅԻՆ ՀԱՂՈՐԴԱԿՑՈՒԹՅԱՆ ՄԱՍԻՆ» ՕՐԵՆՔՈՒՄ ՓՈՓՈԽՈՒԹՅՈՒՆՆԵՐ ԿԱՏԱՐԵԼՈՒ ՄԱՍԻՆ», «ՍՆԱՆԿՈՒԹՅԱՆ ՄԱՍԻՆ» ՕՐԵՆՔՈՒՄ ՓՈՓՈԽՈՒԹՅՈՒՆՆԵՐ ԿԱՏԱՐԵԼՈՒ ՄԱՍԻՆ», «ԱՐԺԵԹՂԹԵՐԻ ՇՈՒԿԱՅԻ ՄԱՍԻՆ» ՕՐԵՆՔՈՒՄ ՓՈՓՈԽՈՒԹՅՈՒՆ ԿԱՏԱՐԵԼՈՒ ՄԱՍԻՆ», «ՀԱՏՈՒԿ ՔՆՆՉԱԿԱՆ ԾԱՌԱՅՈՒԹՅԱՆ ՄԱՍԻՆ» ՕՐԵՆՔՈՒՄ ՓՈՓՈԽՈՒԹՅՈՒՆ ԿԱՏԱՐԵԼՈՒ ՄԱՍԻՆ», «ՀԱՅԱՍՏԱՆԻ ՀԱՆՐԱՊԵՏՈՒԹՅԱՆ ՔՐԵԱԿԱՆ ԴԱՏԱՎԱՐՈՒԹՅԱՆ ՕՐԵՆՍԳՐՔՈՒՄ ՓՈՓՈԽՈՒԹՅՈՒՆ ԿԱՏԱՐԵԼՈՒ ՄԱՍԻՆ», «ՀԱՅԱՍՏԱՆԻ ՀԱՆՐԱՊԵՏՈՒԹՅԱՆ ՔԱՂԱՔԱՑԻԱԿԱՆ ԴԱՏԱՎԱՐՈՒԹՅԱՆ ՕՐԵՆՍԳՐՔՈՒՄ ՓՈՓՈԽՈՒԹՅՈՒՆ ԿԱՏԱՐԵԼՈՒ ՄԱՍԻՆ», «ՀԱՅԱՍՏԱՆԻ ՀԱՆՐԱՊԵՏՈՒԹՅԱՆ ՎԱՐՉԱԿԱՆ ԴԱՏԱՎԱՐՈՒԹՅԱՆ ՕՐԵՆՍԳՐՔՈՒՄ ՓՈՓՈԽՈՒԹՅՈՒՆ ԿԱՏԱՐԵԼՈՒ ՄԱՍԻՆ» ՕՐԵՆՔՆԵՐԻ ԵՎ «ԱԶԳԱՅԻՆ ԺՈՂՈՎԻ ԿԱՆՈՆԱԿԱՐԳ» ՍԱՀՄԱՆԱԴՐԱԿԱՆ ՕՐԵՆՔՈՒՄ ՓՈՓՈԽՈՒԹՅՈՒՆ ԵՎ ԼՐԱՑՈՒՄՆԵՐ ԿԱՏԱՐԵԼՈՒ ՄԱՍԻՆ» ՍԱՀՄԱՆԱԴՐԱԿԱՆ ՕՐԵՆՔԻ</w:t>
      </w:r>
    </w:p>
    <w:p w14:paraId="3E2C167E" w14:textId="77777777" w:rsidR="0030753D" w:rsidRPr="0030753D" w:rsidRDefault="0030753D" w:rsidP="0030753D">
      <w:pPr>
        <w:spacing w:after="0"/>
        <w:jc w:val="center"/>
        <w:rPr>
          <w:rFonts w:ascii="GHEA Grapalat" w:hAnsi="GHEA Grapalat"/>
          <w:b/>
          <w:sz w:val="24"/>
          <w:szCs w:val="24"/>
          <w:lang w:val="hy-AM"/>
        </w:rPr>
      </w:pPr>
      <w:r w:rsidRPr="0030753D">
        <w:rPr>
          <w:rFonts w:ascii="GHEA Grapalat" w:eastAsia="Times New Roman" w:hAnsi="GHEA Grapalat" w:cs="GHEA Grapalat"/>
          <w:b/>
          <w:bCs/>
          <w:sz w:val="24"/>
          <w:szCs w:val="24"/>
          <w:bdr w:val="none" w:sz="0" w:space="0" w:color="auto" w:frame="1"/>
          <w:lang w:val="hy-AM"/>
        </w:rPr>
        <w:t xml:space="preserve"> </w:t>
      </w:r>
      <w:r w:rsidRPr="0030753D">
        <w:rPr>
          <w:rFonts w:ascii="GHEA Grapalat" w:hAnsi="GHEA Grapalat"/>
          <w:b/>
          <w:sz w:val="24"/>
          <w:szCs w:val="24"/>
          <w:lang w:val="hy-AM"/>
        </w:rPr>
        <w:t xml:space="preserve"> ՆԱԽԱԳԾԵՐԻ ՎԵՐԱԲԵՐՅԱԼ ՊԵՏԱԿԱՆ ՓՈՐՁԱԳԻՏԱԿԱՆ ԵԶՐԱԿԱՑՈՒԹՅԱՆ</w:t>
      </w:r>
    </w:p>
    <w:p w14:paraId="3C67A84E" w14:textId="77777777" w:rsidR="0030753D" w:rsidRPr="0030753D" w:rsidRDefault="0030753D" w:rsidP="0030753D">
      <w:pPr>
        <w:spacing w:after="0"/>
        <w:jc w:val="center"/>
        <w:rPr>
          <w:rFonts w:ascii="GHEA Grapalat" w:hAnsi="GHEA Grapalat"/>
          <w:b/>
          <w:sz w:val="24"/>
          <w:szCs w:val="24"/>
          <w:lang w:val="hy-AM"/>
        </w:rPr>
      </w:pPr>
    </w:p>
    <w:tbl>
      <w:tblPr>
        <w:tblStyle w:val="TableGrid"/>
        <w:tblW w:w="14045" w:type="dxa"/>
        <w:tblInd w:w="-612" w:type="dxa"/>
        <w:tblLayout w:type="fixed"/>
        <w:tblLook w:val="04A0" w:firstRow="1" w:lastRow="0" w:firstColumn="1" w:lastColumn="0" w:noHBand="0" w:noVBand="1"/>
      </w:tblPr>
      <w:tblGrid>
        <w:gridCol w:w="749"/>
        <w:gridCol w:w="6350"/>
        <w:gridCol w:w="2268"/>
        <w:gridCol w:w="4678"/>
      </w:tblGrid>
      <w:tr w:rsidR="0030753D" w:rsidRPr="0030753D" w14:paraId="03AE8BE6" w14:textId="77777777" w:rsidTr="00BB4FBE">
        <w:tc>
          <w:tcPr>
            <w:tcW w:w="749" w:type="dxa"/>
          </w:tcPr>
          <w:p w14:paraId="6FB08B94" w14:textId="77777777" w:rsidR="0030753D" w:rsidRPr="0030753D" w:rsidRDefault="0030753D" w:rsidP="00BB4FBE">
            <w:pPr>
              <w:spacing w:after="0"/>
              <w:jc w:val="center"/>
              <w:rPr>
                <w:rFonts w:ascii="GHEA Grapalat" w:hAnsi="GHEA Grapalat"/>
                <w:b/>
                <w:sz w:val="24"/>
                <w:szCs w:val="24"/>
                <w:lang w:val="hy-AM"/>
              </w:rPr>
            </w:pPr>
            <w:r w:rsidRPr="0030753D">
              <w:rPr>
                <w:rFonts w:ascii="GHEA Grapalat" w:hAnsi="GHEA Grapalat"/>
                <w:b/>
                <w:sz w:val="24"/>
                <w:szCs w:val="24"/>
                <w:lang w:val="hy-AM"/>
              </w:rPr>
              <w:lastRenderedPageBreak/>
              <w:t>N</w:t>
            </w:r>
          </w:p>
        </w:tc>
        <w:tc>
          <w:tcPr>
            <w:tcW w:w="6350" w:type="dxa"/>
          </w:tcPr>
          <w:p w14:paraId="62E7A566" w14:textId="77777777" w:rsidR="0030753D" w:rsidRPr="0030753D" w:rsidRDefault="0030753D" w:rsidP="00BB4FBE">
            <w:pPr>
              <w:spacing w:after="0"/>
              <w:jc w:val="center"/>
              <w:rPr>
                <w:rFonts w:ascii="GHEA Grapalat" w:hAnsi="GHEA Grapalat"/>
                <w:b/>
                <w:sz w:val="24"/>
                <w:szCs w:val="24"/>
                <w:lang w:val="hy-AM"/>
              </w:rPr>
            </w:pPr>
            <w:r w:rsidRPr="0030753D">
              <w:rPr>
                <w:rFonts w:ascii="GHEA Grapalat" w:hAnsi="GHEA Grapalat"/>
                <w:b/>
                <w:sz w:val="24"/>
                <w:szCs w:val="24"/>
                <w:lang w:val="hy-AM"/>
              </w:rPr>
              <w:t>Առաջարկության բովանդակություն</w:t>
            </w:r>
          </w:p>
        </w:tc>
        <w:tc>
          <w:tcPr>
            <w:tcW w:w="2268" w:type="dxa"/>
          </w:tcPr>
          <w:p w14:paraId="6BC124FA" w14:textId="77777777" w:rsidR="0030753D" w:rsidRPr="0030753D" w:rsidRDefault="0030753D" w:rsidP="00BB4FBE">
            <w:pPr>
              <w:spacing w:after="0"/>
              <w:jc w:val="center"/>
              <w:rPr>
                <w:rFonts w:ascii="GHEA Grapalat" w:hAnsi="GHEA Grapalat"/>
                <w:b/>
                <w:sz w:val="24"/>
                <w:szCs w:val="24"/>
                <w:lang w:val="hy-AM"/>
              </w:rPr>
            </w:pPr>
            <w:r w:rsidRPr="0030753D">
              <w:rPr>
                <w:rFonts w:ascii="GHEA Grapalat" w:hAnsi="GHEA Grapalat"/>
                <w:b/>
                <w:sz w:val="24"/>
                <w:szCs w:val="24"/>
                <w:lang w:val="hy-AM"/>
              </w:rPr>
              <w:t>Եզրակացություն</w:t>
            </w:r>
          </w:p>
        </w:tc>
        <w:tc>
          <w:tcPr>
            <w:tcW w:w="4678" w:type="dxa"/>
          </w:tcPr>
          <w:p w14:paraId="6BB46C60" w14:textId="77777777" w:rsidR="0030753D" w:rsidRPr="0030753D" w:rsidRDefault="0030753D" w:rsidP="00BB4FBE">
            <w:pPr>
              <w:spacing w:after="0"/>
              <w:jc w:val="center"/>
              <w:rPr>
                <w:rFonts w:ascii="GHEA Grapalat" w:hAnsi="GHEA Grapalat"/>
                <w:b/>
                <w:sz w:val="24"/>
                <w:szCs w:val="24"/>
                <w:lang w:val="hy-AM"/>
              </w:rPr>
            </w:pPr>
            <w:r w:rsidRPr="0030753D">
              <w:rPr>
                <w:rFonts w:ascii="GHEA Grapalat" w:hAnsi="GHEA Grapalat"/>
                <w:b/>
                <w:sz w:val="24"/>
                <w:szCs w:val="24"/>
                <w:lang w:val="hy-AM"/>
              </w:rPr>
              <w:t>Կատարված փոփոխությունը</w:t>
            </w:r>
          </w:p>
        </w:tc>
      </w:tr>
      <w:tr w:rsidR="0030753D" w:rsidRPr="0030753D" w14:paraId="46A89071" w14:textId="77777777" w:rsidTr="00BB4FBE">
        <w:trPr>
          <w:trHeight w:val="699"/>
        </w:trPr>
        <w:tc>
          <w:tcPr>
            <w:tcW w:w="749" w:type="dxa"/>
          </w:tcPr>
          <w:p w14:paraId="5A39B51E"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vAlign w:val="center"/>
          </w:tcPr>
          <w:p w14:paraId="72E6336F" w14:textId="71D4622F"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«Տնտեսական մրցակցության պաշտպանության մասին» օրենքում փոփոխություն կատարելու մասին» օրենքի նախագծի (այսուհետ՝ Նախագիծ) 2-րդ հոդվածի 4-րդ և 5-րդ մասերով, համապատասխանաբար, նախատեսվում են Կենտրոնական բանկի կողմից կարգավորվող կամ վերահսկվող անձանց առնչվող վարչական վարույթների և Հանրային ծառայությունները կարգավորող հանձնաժողովի իրավասությանը վերապահված՝ հանրային ծառայությունների կարգավորվող ոլորտների հարաբերությունների վրա օրենքի գործողության վերաբերյալ կարգավորումներ: Այսպես, նշված հոդվածի 4-րդ մասի համաձայն՝ Հանձնաժողովը օրենքով նախատեսված գործառույթները Կենտրոնական բանկի կողմից կարգավորվող կամ վերահսկվող անձանց առնչվող վարչական վարույթներում իրականացնում է Կենտրոնական բանկի հետ համագործակցության սկզբունքի հիման վրա, եթե Հանձ</w:t>
            </w:r>
            <w:r>
              <w:rPr>
                <w:rFonts w:ascii="GHEA Grapalat" w:hAnsi="GHEA Grapalat" w:cs="Sylfaen"/>
                <w:sz w:val="24"/>
                <w:szCs w:val="24"/>
                <w:lang w:val="hy-AM"/>
              </w:rPr>
              <w:t>ն</w:t>
            </w:r>
            <w:r w:rsidRPr="0030753D">
              <w:rPr>
                <w:rFonts w:ascii="GHEA Grapalat" w:hAnsi="GHEA Grapalat" w:cs="Sylfaen"/>
                <w:sz w:val="24"/>
                <w:szCs w:val="24"/>
                <w:lang w:val="hy-AM"/>
              </w:rPr>
              <w:t xml:space="preserve">աժողովի կողմից ընդունվելիք որոշումները կարող են ազդեցություն ունենալ Հայաստանի </w:t>
            </w:r>
            <w:r>
              <w:rPr>
                <w:rFonts w:ascii="GHEA Grapalat" w:hAnsi="GHEA Grapalat" w:cs="Sylfaen"/>
                <w:sz w:val="24"/>
                <w:szCs w:val="24"/>
                <w:lang w:val="hy-AM"/>
              </w:rPr>
              <w:t>Հան</w:t>
            </w:r>
            <w:r w:rsidRPr="0030753D">
              <w:rPr>
                <w:rFonts w:ascii="GHEA Grapalat" w:hAnsi="GHEA Grapalat" w:cs="Sylfaen"/>
                <w:sz w:val="24"/>
                <w:szCs w:val="24"/>
                <w:lang w:val="hy-AM"/>
              </w:rPr>
              <w:t xml:space="preserve">րապետությունում ֆինանսական կայունության վրա, իսկ նույն հոդվածի 5-րդ մասի համաձայն՝ օրենքի գործողությունը չի տարածվում հանրային ծառայությունների կարգավորվող ոլորտների այն հարաբերությունների </w:t>
            </w:r>
            <w:r w:rsidRPr="0030753D">
              <w:rPr>
                <w:rFonts w:ascii="GHEA Grapalat" w:hAnsi="GHEA Grapalat" w:cs="Sylfaen"/>
                <w:sz w:val="24"/>
                <w:szCs w:val="24"/>
                <w:lang w:val="hy-AM"/>
              </w:rPr>
              <w:lastRenderedPageBreak/>
              <w:t xml:space="preserve">վրա, որոնց կարգավորումն օրենքով վերապահված է Հանրային ծառայությունները կարգավորող հանձնաժողովի իրավասությանը: Հանրային ծառայությունների կարգավորվող ոլորտում գործող անձանց նկատմամբ տնտեսական մրցակցության գործառույթները Հանձնաժողովն իրականացնում է Հանրային ծառայությունները կարգավորող հանձնաժողովի հետ համագործակցության սկզբունքի հիման վրա: </w:t>
            </w:r>
          </w:p>
          <w:p w14:paraId="04502CFA"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ընդունման հիմնավորման համաձայն՝ առաջարկվող կարգավորումը պայմանավորված է նրանով, որ տնտեսական մրցակցության պաշտպանության գործառույթի իրականացումը տարբեր մարմինների կողմից և տարբեր կանոններով էական վնաս կհասցնի տնտեսական մրցակցության պաշտպանությանը, տնտեսվարող սուբյեկտների համար կստեղծի անհավասար մրցակցային պայմաններ: Ավելին, միջազգային փորձի ուսումնասիրությունը ևս փաստում է, որ ինչպես զարգացած, այնպես էլ զարգացող գրեթե բոլոր պետություններում տնտեսական մրցակցության, ինչպես նաև սպառողների շահերի պաշտպանությունը կարգավորվող ոլորտներում իրականացվում է և որոշում է կայացվում բացառապես մրցակցության և սպառողների շահերի պաշտպանության մարմինների </w:t>
            </w:r>
            <w:r w:rsidRPr="0030753D">
              <w:rPr>
                <w:rFonts w:ascii="GHEA Grapalat" w:hAnsi="GHEA Grapalat" w:cs="Sylfaen"/>
                <w:sz w:val="24"/>
                <w:szCs w:val="24"/>
                <w:lang w:val="hy-AM"/>
              </w:rPr>
              <w:lastRenderedPageBreak/>
              <w:t xml:space="preserve">կողմից` ընտրելով </w:t>
            </w:r>
            <w:proofErr w:type="spellStart"/>
            <w:r w:rsidRPr="0030753D">
              <w:rPr>
                <w:rFonts w:ascii="GHEA Grapalat" w:hAnsi="GHEA Grapalat" w:cs="Sylfaen"/>
                <w:sz w:val="24"/>
                <w:szCs w:val="24"/>
                <w:lang w:val="hy-AM"/>
              </w:rPr>
              <w:t>կարգավորողի</w:t>
            </w:r>
            <w:bookmarkStart w:id="0" w:name="_GoBack"/>
            <w:bookmarkEnd w:id="0"/>
            <w:proofErr w:type="spellEnd"/>
            <w:r w:rsidRPr="0030753D">
              <w:rPr>
                <w:rFonts w:ascii="GHEA Grapalat" w:hAnsi="GHEA Grapalat" w:cs="Sylfaen"/>
                <w:sz w:val="24"/>
                <w:szCs w:val="24"/>
                <w:lang w:val="hy-AM"/>
              </w:rPr>
              <w:t xml:space="preserve"> հետ համագործակցության տարբեր </w:t>
            </w:r>
            <w:proofErr w:type="spellStart"/>
            <w:r w:rsidRPr="0030753D">
              <w:rPr>
                <w:rFonts w:ascii="GHEA Grapalat" w:hAnsi="GHEA Grapalat" w:cs="Sylfaen"/>
                <w:sz w:val="24"/>
                <w:szCs w:val="24"/>
                <w:lang w:val="hy-AM"/>
              </w:rPr>
              <w:t>ձևաչափեր</w:t>
            </w:r>
            <w:proofErr w:type="spellEnd"/>
            <w:r w:rsidRPr="0030753D">
              <w:rPr>
                <w:rFonts w:ascii="GHEA Grapalat" w:hAnsi="GHEA Grapalat" w:cs="Sylfaen"/>
                <w:sz w:val="24"/>
                <w:szCs w:val="24"/>
                <w:lang w:val="hy-AM"/>
              </w:rPr>
              <w:t xml:space="preserve">:  </w:t>
            </w:r>
          </w:p>
          <w:p w14:paraId="12DA2BD8" w14:textId="77777777" w:rsidR="0030753D" w:rsidRPr="0030753D" w:rsidRDefault="0030753D" w:rsidP="00BB4FBE">
            <w:pPr>
              <w:pStyle w:val="ListParagraph"/>
              <w:spacing w:after="0"/>
              <w:ind w:left="8"/>
              <w:contextualSpacing w:val="0"/>
              <w:jc w:val="center"/>
              <w:rPr>
                <w:rFonts w:ascii="GHEA Grapalat" w:hAnsi="GHEA Grapalat" w:cs="Sylfaen"/>
                <w:sz w:val="24"/>
                <w:szCs w:val="24"/>
                <w:lang w:val="hy-AM"/>
              </w:rPr>
            </w:pPr>
            <w:r w:rsidRPr="0030753D">
              <w:rPr>
                <w:rFonts w:ascii="GHEA Grapalat" w:hAnsi="GHEA Grapalat" w:cs="Sylfaen"/>
                <w:sz w:val="24"/>
                <w:szCs w:val="24"/>
                <w:lang w:val="hy-AM"/>
              </w:rPr>
              <w:t>Կարծում ենք՝ վերոգրյալ հիմնավորման համատեքստում պարզաբանման կարիք ունի օրենքի գործողությունը Հանրային ծառայությունները կարգավորող հանձնաժողովի իրավասությանը օրենքով վերապահված՝ հանրային ծառայությունների կարգավորվող ոլորտների իրավահարաբերությունների վրա չտարածելու վերաբերյալ Նախագծով ամրագրված կարգավորման նպատակը՝ հաշվի առնելով նաև այն, որ ըստ Նախագծի՝ Կենտրոնական բանկի հետ համագործակցության սկզբունքը գործելու է միայն Հանձնաժողովի կողմից ընդունվելիք որոշումների՝ ՀՀ ֆինանսական կայունության վրա հնարավոր ազդեցություն ունենալու դեպքում:</w:t>
            </w:r>
          </w:p>
        </w:tc>
        <w:tc>
          <w:tcPr>
            <w:tcW w:w="2268" w:type="dxa"/>
            <w:shd w:val="clear" w:color="auto" w:fill="auto"/>
          </w:tcPr>
          <w:p w14:paraId="56D0B9B6"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Ընդունվել է մասնակի</w:t>
            </w:r>
          </w:p>
          <w:p w14:paraId="20715675" w14:textId="77777777" w:rsidR="0030753D" w:rsidRPr="0030753D" w:rsidRDefault="0030753D" w:rsidP="00BB4FBE">
            <w:pPr>
              <w:spacing w:after="0"/>
              <w:jc w:val="center"/>
              <w:rPr>
                <w:rFonts w:ascii="GHEA Grapalat" w:hAnsi="GHEA Grapalat"/>
                <w:bCs/>
                <w:sz w:val="24"/>
                <w:szCs w:val="24"/>
                <w:lang w:val="hy-AM"/>
              </w:rPr>
            </w:pPr>
          </w:p>
        </w:tc>
        <w:tc>
          <w:tcPr>
            <w:tcW w:w="4678" w:type="dxa"/>
            <w:shd w:val="clear" w:color="auto" w:fill="auto"/>
          </w:tcPr>
          <w:p w14:paraId="370E8A17" w14:textId="77777777" w:rsidR="0030753D" w:rsidRPr="0030753D" w:rsidRDefault="0030753D" w:rsidP="00BB4FBE">
            <w:pPr>
              <w:spacing w:after="0"/>
              <w:jc w:val="center"/>
              <w:rPr>
                <w:rFonts w:ascii="GHEA Grapalat" w:hAnsi="GHEA Grapalat" w:cs="Sylfaen"/>
                <w:sz w:val="24"/>
                <w:szCs w:val="24"/>
                <w:lang w:val="hy-AM"/>
              </w:rPr>
            </w:pPr>
            <w:r w:rsidRPr="0030753D">
              <w:rPr>
                <w:rFonts w:ascii="GHEA Grapalat" w:hAnsi="GHEA Grapalat" w:cs="Sylfaen"/>
                <w:sz w:val="24"/>
                <w:szCs w:val="24"/>
                <w:lang w:val="hy-AM"/>
              </w:rPr>
              <w:t>Ընդլայնվել է Կենտրոնական բանկի հետ համագործակցության սկզբունքի կիրառության շրջանակը:</w:t>
            </w:r>
          </w:p>
          <w:p w14:paraId="43D4680D" w14:textId="77777777" w:rsidR="0030753D" w:rsidRPr="0030753D" w:rsidRDefault="0030753D" w:rsidP="00BB4FBE">
            <w:pPr>
              <w:spacing w:after="0"/>
              <w:jc w:val="center"/>
              <w:rPr>
                <w:rFonts w:ascii="GHEA Grapalat" w:hAnsi="GHEA Grapalat"/>
                <w:b/>
                <w:sz w:val="24"/>
                <w:szCs w:val="24"/>
                <w:lang w:val="hy-AM"/>
              </w:rPr>
            </w:pPr>
            <w:r w:rsidRPr="0030753D">
              <w:rPr>
                <w:rFonts w:ascii="GHEA Grapalat" w:hAnsi="GHEA Grapalat" w:cs="Sylfaen"/>
                <w:sz w:val="24"/>
                <w:szCs w:val="24"/>
                <w:lang w:val="hy-AM"/>
              </w:rPr>
              <w:t xml:space="preserve">Ինչ վերաբերում է Հանձնաժողովի և Հանրային ծառայությունները կարգավորող հանձնաժողովի իրավասությունների տարանջատմանը, ապա Նախագծով Հանձնաժողովի իրավասությունը բացառվել է միայն այն </w:t>
            </w:r>
            <w:proofErr w:type="spellStart"/>
            <w:r w:rsidRPr="0030753D">
              <w:rPr>
                <w:rFonts w:ascii="GHEA Grapalat" w:hAnsi="GHEA Grapalat" w:cs="Sylfaen"/>
                <w:sz w:val="24"/>
                <w:szCs w:val="24"/>
                <w:lang w:val="hy-AM"/>
              </w:rPr>
              <w:t>իրավահարաբերություններում</w:t>
            </w:r>
            <w:proofErr w:type="spellEnd"/>
            <w:r w:rsidRPr="0030753D">
              <w:rPr>
                <w:rFonts w:ascii="GHEA Grapalat" w:hAnsi="GHEA Grapalat" w:cs="Sylfaen"/>
                <w:sz w:val="24"/>
                <w:szCs w:val="24"/>
                <w:lang w:val="hy-AM"/>
              </w:rPr>
              <w:t>, որոնք օրենքով ուղղակիորեն վերապահված են Հանրային ծառայությունները կարգավորող հանձնաժողովին, քանի որ հանրային ծառայությունների ոլորտը կարգավորելու լիազորությունը վերապահված է վերջինիս։</w:t>
            </w:r>
          </w:p>
        </w:tc>
      </w:tr>
      <w:tr w:rsidR="0030753D" w:rsidRPr="0030753D" w14:paraId="106EDE77" w14:textId="77777777" w:rsidTr="00BB4FBE">
        <w:tc>
          <w:tcPr>
            <w:tcW w:w="749" w:type="dxa"/>
          </w:tcPr>
          <w:p w14:paraId="4BBA1119"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3C2EC1F3" w14:textId="77777777" w:rsidR="0030753D" w:rsidRPr="0030753D" w:rsidRDefault="0030753D" w:rsidP="00BB4FBE">
            <w:pPr>
              <w:pStyle w:val="ListParagraph"/>
              <w:spacing w:after="0"/>
              <w:ind w:left="0"/>
              <w:contextualSpacing w:val="0"/>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4-րդ հոդվածի 1-ին մասի 2-րդ կետով ապրանքը բնորոշվում է որպես քաղաքացիական իրավունքի օբյեկտ, այդ թվում՝ գույք, աշխատանք, ծառայություն (ներառյալ ֆինանսական), որը նախատեսված է իրացման, փոխանակման կամ շրջանառության մեջ այլ կերպ ներդրման համար: Նախագծի նույն հոդվածի 1-ին մասի 13-րդ կետով իրացումը բնորոշվում է որպես օտարում (վաճառք, մատակարարում, այլ կերպ գույքի նկատմամբ սեփականության իրավունքի փոխանցում), մատուցում կամ կատարում: Հարկ է նշել, որ ՀՀ քաղաքացիական </w:t>
            </w:r>
            <w:r w:rsidRPr="0030753D">
              <w:rPr>
                <w:rFonts w:ascii="GHEA Grapalat" w:hAnsi="GHEA Grapalat" w:cs="Sylfaen"/>
                <w:sz w:val="24"/>
                <w:szCs w:val="24"/>
                <w:lang w:val="hy-AM"/>
              </w:rPr>
              <w:lastRenderedPageBreak/>
              <w:t xml:space="preserve">օրենսգրքով փոխանակությունը դասվում է գույքի օտարման գործարքների թվին: Իրացման՝ Նախագծով սահմանվող հասկացությունից ևս բխում է, որ այն ընդգրկում է գույքի նկատմամբ սեփականության իրավունքի փոխանցման բոլոր, հետևաբար նաև՝ փոխանակման եղանակը, ուստի գտնում ենք, որ Նախագծի նշված հոդվածի 1-ին մասի 2-րդ կետում փոխանակումն իրացումից առանձնացնելու </w:t>
            </w:r>
            <w:proofErr w:type="spellStart"/>
            <w:r w:rsidRPr="0030753D">
              <w:rPr>
                <w:rFonts w:ascii="GHEA Grapalat" w:hAnsi="GHEA Grapalat" w:cs="Sylfaen"/>
                <w:sz w:val="24"/>
                <w:szCs w:val="24"/>
                <w:lang w:val="hy-AM"/>
              </w:rPr>
              <w:t>անհրաժետությունը</w:t>
            </w:r>
            <w:proofErr w:type="spellEnd"/>
            <w:r w:rsidRPr="0030753D">
              <w:rPr>
                <w:rFonts w:ascii="GHEA Grapalat" w:hAnsi="GHEA Grapalat" w:cs="Sylfaen"/>
                <w:sz w:val="24"/>
                <w:szCs w:val="24"/>
                <w:lang w:val="hy-AM"/>
              </w:rPr>
              <w:t xml:space="preserve"> բացակայում է:</w:t>
            </w:r>
          </w:p>
        </w:tc>
        <w:tc>
          <w:tcPr>
            <w:tcW w:w="2268" w:type="dxa"/>
          </w:tcPr>
          <w:p w14:paraId="68D36742"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Ընդունվել է</w:t>
            </w:r>
          </w:p>
        </w:tc>
        <w:tc>
          <w:tcPr>
            <w:tcW w:w="4678" w:type="dxa"/>
          </w:tcPr>
          <w:p w14:paraId="112D42F8"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Նախագծում կատարվել են համապատասխան փոփոխություններ։</w:t>
            </w:r>
          </w:p>
        </w:tc>
      </w:tr>
      <w:tr w:rsidR="0030753D" w:rsidRPr="0030753D" w14:paraId="681EA3A8" w14:textId="77777777" w:rsidTr="00BB4FBE">
        <w:tc>
          <w:tcPr>
            <w:tcW w:w="749" w:type="dxa"/>
          </w:tcPr>
          <w:p w14:paraId="085941D1"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633EA672"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14-րդ հոդվածի 1-ին մասի 4-րդ կետի համաձայն՝ տնտեսվարող սուբյեկտների համակենտրոնացում է համարվում տնտեսվարող սուբյեկտի կողմից ՀՀ-ում գրանցված այլ տնտեսվարող սուբյեկտի </w:t>
            </w:r>
            <w:proofErr w:type="spellStart"/>
            <w:r w:rsidRPr="0030753D">
              <w:rPr>
                <w:rFonts w:ascii="GHEA Grapalat" w:hAnsi="GHEA Grapalat" w:cs="Sylfaen"/>
                <w:sz w:val="24"/>
                <w:szCs w:val="24"/>
                <w:lang w:val="hy-AM"/>
              </w:rPr>
              <w:t>փայաբաժնի</w:t>
            </w:r>
            <w:proofErr w:type="spellEnd"/>
            <w:r w:rsidRPr="0030753D">
              <w:rPr>
                <w:rFonts w:ascii="GHEA Grapalat" w:hAnsi="GHEA Grapalat" w:cs="Sylfaen"/>
                <w:sz w:val="24"/>
                <w:szCs w:val="24"/>
                <w:lang w:val="hy-AM"/>
              </w:rPr>
              <w:t xml:space="preserve"> ձեռքբերումը, եթե դա ինքնին կազմում է այդ տնտեսվարող սուբյեկտի կանոնադրական (</w:t>
            </w:r>
            <w:proofErr w:type="spellStart"/>
            <w:r w:rsidRPr="0030753D">
              <w:rPr>
                <w:rFonts w:ascii="GHEA Grapalat" w:hAnsi="GHEA Grapalat" w:cs="Sylfaen"/>
                <w:sz w:val="24"/>
                <w:szCs w:val="24"/>
                <w:lang w:val="hy-AM"/>
              </w:rPr>
              <w:t>բաժնեհավաք</w:t>
            </w:r>
            <w:proofErr w:type="spellEnd"/>
            <w:r w:rsidRPr="0030753D">
              <w:rPr>
                <w:rFonts w:ascii="GHEA Grapalat" w:hAnsi="GHEA Grapalat" w:cs="Sylfaen"/>
                <w:sz w:val="24"/>
                <w:szCs w:val="24"/>
                <w:lang w:val="hy-AM"/>
              </w:rPr>
              <w:t xml:space="preserve">) կապիտալի առնվազն 20 տոկոսը: Հոդվածի նույն մասով </w:t>
            </w:r>
            <w:proofErr w:type="spellStart"/>
            <w:r w:rsidRPr="0030753D">
              <w:rPr>
                <w:rFonts w:ascii="GHEA Grapalat" w:hAnsi="GHEA Grapalat" w:cs="Sylfaen"/>
                <w:sz w:val="24"/>
                <w:szCs w:val="24"/>
                <w:lang w:val="hy-AM"/>
              </w:rPr>
              <w:t>հաջորդիվ</w:t>
            </w:r>
            <w:proofErr w:type="spellEnd"/>
            <w:r w:rsidRPr="0030753D">
              <w:rPr>
                <w:rFonts w:ascii="GHEA Grapalat" w:hAnsi="GHEA Grapalat" w:cs="Sylfaen"/>
                <w:sz w:val="24"/>
                <w:szCs w:val="24"/>
                <w:lang w:val="hy-AM"/>
              </w:rPr>
              <w:t xml:space="preserve"> որպես համակենտրոնացման </w:t>
            </w:r>
            <w:proofErr w:type="spellStart"/>
            <w:r w:rsidRPr="0030753D">
              <w:rPr>
                <w:rFonts w:ascii="GHEA Grapalat" w:hAnsi="GHEA Grapalat" w:cs="Sylfaen"/>
                <w:sz w:val="24"/>
                <w:szCs w:val="24"/>
                <w:lang w:val="hy-AM"/>
              </w:rPr>
              <w:t>դրսևորումներ</w:t>
            </w:r>
            <w:proofErr w:type="spellEnd"/>
            <w:r w:rsidRPr="0030753D">
              <w:rPr>
                <w:rFonts w:ascii="GHEA Grapalat" w:hAnsi="GHEA Grapalat" w:cs="Sylfaen"/>
                <w:sz w:val="24"/>
                <w:szCs w:val="24"/>
                <w:lang w:val="hy-AM"/>
              </w:rPr>
              <w:t xml:space="preserve"> նշվում են այդ </w:t>
            </w:r>
            <w:proofErr w:type="spellStart"/>
            <w:r w:rsidRPr="0030753D">
              <w:rPr>
                <w:rFonts w:ascii="GHEA Grapalat" w:hAnsi="GHEA Grapalat" w:cs="Sylfaen"/>
                <w:sz w:val="24"/>
                <w:szCs w:val="24"/>
                <w:lang w:val="hy-AM"/>
              </w:rPr>
              <w:t>ձեռքբերմամբ</w:t>
            </w:r>
            <w:proofErr w:type="spellEnd"/>
            <w:r w:rsidRPr="0030753D">
              <w:rPr>
                <w:rFonts w:ascii="GHEA Grapalat" w:hAnsi="GHEA Grapalat" w:cs="Sylfaen"/>
                <w:sz w:val="24"/>
                <w:szCs w:val="24"/>
                <w:lang w:val="hy-AM"/>
              </w:rPr>
              <w:t xml:space="preserve"> տնտեսվարող սուբյեկտի կանոնադրական (</w:t>
            </w:r>
            <w:proofErr w:type="spellStart"/>
            <w:r w:rsidRPr="0030753D">
              <w:rPr>
                <w:rFonts w:ascii="GHEA Grapalat" w:hAnsi="GHEA Grapalat" w:cs="Sylfaen"/>
                <w:sz w:val="24"/>
                <w:szCs w:val="24"/>
                <w:lang w:val="hy-AM"/>
              </w:rPr>
              <w:t>բաժնեհավաք</w:t>
            </w:r>
            <w:proofErr w:type="spellEnd"/>
            <w:r w:rsidRPr="0030753D">
              <w:rPr>
                <w:rFonts w:ascii="GHEA Grapalat" w:hAnsi="GHEA Grapalat" w:cs="Sylfaen"/>
                <w:sz w:val="24"/>
                <w:szCs w:val="24"/>
                <w:lang w:val="hy-AM"/>
              </w:rPr>
              <w:t xml:space="preserve">) կապիտալում ձեռք </w:t>
            </w:r>
            <w:proofErr w:type="spellStart"/>
            <w:r w:rsidRPr="0030753D">
              <w:rPr>
                <w:rFonts w:ascii="GHEA Grapalat" w:hAnsi="GHEA Grapalat" w:cs="Sylfaen"/>
                <w:sz w:val="24"/>
                <w:szCs w:val="24"/>
                <w:lang w:val="hy-AM"/>
              </w:rPr>
              <w:t>բերողի</w:t>
            </w:r>
            <w:proofErr w:type="spellEnd"/>
            <w:r w:rsidRPr="0030753D">
              <w:rPr>
                <w:rFonts w:ascii="GHEA Grapalat" w:hAnsi="GHEA Grapalat" w:cs="Sylfaen"/>
                <w:sz w:val="24"/>
                <w:szCs w:val="24"/>
                <w:lang w:val="hy-AM"/>
              </w:rPr>
              <w:t xml:space="preserve"> մասնակցության չափը 20 տոկոսի, 35 տոկոսի և 50 տոկոսի </w:t>
            </w:r>
            <w:proofErr w:type="spellStart"/>
            <w:r w:rsidRPr="0030753D">
              <w:rPr>
                <w:rFonts w:ascii="GHEA Grapalat" w:hAnsi="GHEA Grapalat" w:cs="Sylfaen"/>
                <w:sz w:val="24"/>
                <w:szCs w:val="24"/>
                <w:lang w:val="hy-AM"/>
              </w:rPr>
              <w:t>շեմերը</w:t>
            </w:r>
            <w:proofErr w:type="spellEnd"/>
            <w:r w:rsidRPr="0030753D">
              <w:rPr>
                <w:rFonts w:ascii="GHEA Grapalat" w:hAnsi="GHEA Grapalat" w:cs="Sylfaen"/>
                <w:sz w:val="24"/>
                <w:szCs w:val="24"/>
                <w:lang w:val="hy-AM"/>
              </w:rPr>
              <w:t xml:space="preserve"> հատելը: Այս կապակցությամբ գտնում ենք, որ նշված </w:t>
            </w:r>
            <w:proofErr w:type="spellStart"/>
            <w:r w:rsidRPr="0030753D">
              <w:rPr>
                <w:rFonts w:ascii="GHEA Grapalat" w:hAnsi="GHEA Grapalat" w:cs="Sylfaen"/>
                <w:sz w:val="24"/>
                <w:szCs w:val="24"/>
                <w:lang w:val="hy-AM"/>
              </w:rPr>
              <w:t>շեմերի</w:t>
            </w:r>
            <w:proofErr w:type="spellEnd"/>
            <w:r w:rsidRPr="0030753D">
              <w:rPr>
                <w:rFonts w:ascii="GHEA Grapalat" w:hAnsi="GHEA Grapalat" w:cs="Sylfaen"/>
                <w:sz w:val="24"/>
                <w:szCs w:val="24"/>
                <w:lang w:val="hy-AM"/>
              </w:rPr>
              <w:t xml:space="preserve"> </w:t>
            </w:r>
            <w:proofErr w:type="spellStart"/>
            <w:r w:rsidRPr="0030753D">
              <w:rPr>
                <w:rFonts w:ascii="GHEA Grapalat" w:hAnsi="GHEA Grapalat" w:cs="Sylfaen"/>
                <w:sz w:val="24"/>
                <w:szCs w:val="24"/>
                <w:lang w:val="hy-AM"/>
              </w:rPr>
              <w:t>նախատեսման</w:t>
            </w:r>
            <w:proofErr w:type="spellEnd"/>
            <w:r w:rsidRPr="0030753D">
              <w:rPr>
                <w:rFonts w:ascii="GHEA Grapalat" w:hAnsi="GHEA Grapalat" w:cs="Sylfaen"/>
                <w:sz w:val="24"/>
                <w:szCs w:val="24"/>
                <w:lang w:val="hy-AM"/>
              </w:rPr>
              <w:t xml:space="preserve">, ինչպես նաև հատկապես 20, 35 և 50 տոկոս </w:t>
            </w:r>
            <w:proofErr w:type="spellStart"/>
            <w:r w:rsidRPr="0030753D">
              <w:rPr>
                <w:rFonts w:ascii="GHEA Grapalat" w:hAnsi="GHEA Grapalat" w:cs="Sylfaen"/>
                <w:sz w:val="24"/>
                <w:szCs w:val="24"/>
                <w:lang w:val="hy-AM"/>
              </w:rPr>
              <w:t>շեմերի</w:t>
            </w:r>
            <w:proofErr w:type="spellEnd"/>
            <w:r w:rsidRPr="0030753D">
              <w:rPr>
                <w:rFonts w:ascii="GHEA Grapalat" w:hAnsi="GHEA Grapalat" w:cs="Sylfaen"/>
                <w:sz w:val="24"/>
                <w:szCs w:val="24"/>
                <w:lang w:val="hy-AM"/>
              </w:rPr>
              <w:t xml:space="preserve"> ընտրության հիմքում ընկած տրամաբանությունն անհասկանալի է:</w:t>
            </w:r>
          </w:p>
          <w:p w14:paraId="7584541A" w14:textId="77777777" w:rsidR="0030753D" w:rsidRPr="0030753D" w:rsidRDefault="0030753D" w:rsidP="00BB4FBE">
            <w:pPr>
              <w:pStyle w:val="ListParagraph"/>
              <w:spacing w:after="0"/>
              <w:ind w:left="8"/>
              <w:contextualSpacing w:val="0"/>
              <w:jc w:val="center"/>
              <w:rPr>
                <w:rFonts w:ascii="GHEA Grapalat" w:hAnsi="GHEA Grapalat" w:cs="Sylfaen"/>
                <w:sz w:val="24"/>
                <w:szCs w:val="24"/>
                <w:lang w:val="hy-AM"/>
              </w:rPr>
            </w:pPr>
            <w:r w:rsidRPr="0030753D">
              <w:rPr>
                <w:rFonts w:ascii="GHEA Grapalat" w:hAnsi="GHEA Grapalat" w:cs="Sylfaen"/>
                <w:sz w:val="24"/>
                <w:szCs w:val="24"/>
                <w:lang w:val="hy-AM"/>
              </w:rPr>
              <w:lastRenderedPageBreak/>
              <w:t xml:space="preserve"> Հարկ է նշել, որ Նախագծին կից ներկայացված </w:t>
            </w:r>
            <w:proofErr w:type="spellStart"/>
            <w:r w:rsidRPr="0030753D">
              <w:rPr>
                <w:rFonts w:ascii="GHEA Grapalat" w:hAnsi="GHEA Grapalat" w:cs="Sylfaen"/>
                <w:sz w:val="24"/>
                <w:szCs w:val="24"/>
                <w:lang w:val="hy-AM"/>
              </w:rPr>
              <w:t>ամփոփաթերթում</w:t>
            </w:r>
            <w:proofErr w:type="spellEnd"/>
            <w:r w:rsidRPr="0030753D">
              <w:rPr>
                <w:rFonts w:ascii="GHEA Grapalat" w:hAnsi="GHEA Grapalat" w:cs="Sylfaen"/>
                <w:sz w:val="24"/>
                <w:szCs w:val="24"/>
                <w:lang w:val="hy-AM"/>
              </w:rPr>
              <w:t xml:space="preserve"> նշվում է, որ 35 տոկոսի նշումը վերաբերում է այն դեպքին, երբ ձեռք </w:t>
            </w:r>
            <w:proofErr w:type="spellStart"/>
            <w:r w:rsidRPr="0030753D">
              <w:rPr>
                <w:rFonts w:ascii="GHEA Grapalat" w:hAnsi="GHEA Grapalat" w:cs="Sylfaen"/>
                <w:sz w:val="24"/>
                <w:szCs w:val="24"/>
                <w:lang w:val="hy-AM"/>
              </w:rPr>
              <w:t>բերողին</w:t>
            </w:r>
            <w:proofErr w:type="spellEnd"/>
            <w:r w:rsidRPr="0030753D">
              <w:rPr>
                <w:rFonts w:ascii="GHEA Grapalat" w:hAnsi="GHEA Grapalat" w:cs="Sylfaen"/>
                <w:sz w:val="24"/>
                <w:szCs w:val="24"/>
                <w:lang w:val="hy-AM"/>
              </w:rPr>
              <w:t xml:space="preserve"> արդեն իսկ պատկանող </w:t>
            </w:r>
            <w:proofErr w:type="spellStart"/>
            <w:r w:rsidRPr="0030753D">
              <w:rPr>
                <w:rFonts w:ascii="GHEA Grapalat" w:hAnsi="GHEA Grapalat" w:cs="Sylfaen"/>
                <w:sz w:val="24"/>
                <w:szCs w:val="24"/>
                <w:lang w:val="hy-AM"/>
              </w:rPr>
              <w:t>փայաբաժինը</w:t>
            </w:r>
            <w:proofErr w:type="spellEnd"/>
            <w:r w:rsidRPr="0030753D">
              <w:rPr>
                <w:rFonts w:ascii="GHEA Grapalat" w:hAnsi="GHEA Grapalat" w:cs="Sylfaen"/>
                <w:sz w:val="24"/>
                <w:szCs w:val="24"/>
                <w:lang w:val="hy-AM"/>
              </w:rPr>
              <w:t xml:space="preserve"> կազմում է 20 տոկոս և ավելի, և վերջինս ցանկանում է ձեռք բերել այնքան տոկոս փայաբաժին, որով իր ունեցածի հետ միասին կունենա ավելին, քան 35 տոկոսն է: Նույն կերպ 50 տոկոսի մատնանշումը վերաբերում է այն դեպքին երբ ձեռք </w:t>
            </w:r>
            <w:proofErr w:type="spellStart"/>
            <w:r w:rsidRPr="0030753D">
              <w:rPr>
                <w:rFonts w:ascii="GHEA Grapalat" w:hAnsi="GHEA Grapalat" w:cs="Sylfaen"/>
                <w:sz w:val="24"/>
                <w:szCs w:val="24"/>
                <w:lang w:val="hy-AM"/>
              </w:rPr>
              <w:t>բերողին</w:t>
            </w:r>
            <w:proofErr w:type="spellEnd"/>
            <w:r w:rsidRPr="0030753D">
              <w:rPr>
                <w:rFonts w:ascii="GHEA Grapalat" w:hAnsi="GHEA Grapalat" w:cs="Sylfaen"/>
                <w:sz w:val="24"/>
                <w:szCs w:val="24"/>
                <w:lang w:val="hy-AM"/>
              </w:rPr>
              <w:t xml:space="preserve"> արդեն իսկ պատկանող </w:t>
            </w:r>
            <w:proofErr w:type="spellStart"/>
            <w:r w:rsidRPr="0030753D">
              <w:rPr>
                <w:rFonts w:ascii="GHEA Grapalat" w:hAnsi="GHEA Grapalat" w:cs="Sylfaen"/>
                <w:sz w:val="24"/>
                <w:szCs w:val="24"/>
                <w:lang w:val="hy-AM"/>
              </w:rPr>
              <w:t>փայաբաժինը</w:t>
            </w:r>
            <w:proofErr w:type="spellEnd"/>
            <w:r w:rsidRPr="0030753D">
              <w:rPr>
                <w:rFonts w:ascii="GHEA Grapalat" w:hAnsi="GHEA Grapalat" w:cs="Sylfaen"/>
                <w:sz w:val="24"/>
                <w:szCs w:val="24"/>
                <w:lang w:val="hy-AM"/>
              </w:rPr>
              <w:t xml:space="preserve"> կազմում է 35 տոկոս և ավելի և վերջինս ցանկանում է ձեռք բերել այնքան տոկոս փայաբաժին, որով իր ունեցածի հետ միասին կունենա ավելին, քան 50 տոկոսն է: Կարծում են՝ Նախագծով սահմանված </w:t>
            </w:r>
            <w:proofErr w:type="spellStart"/>
            <w:r w:rsidRPr="0030753D">
              <w:rPr>
                <w:rFonts w:ascii="GHEA Grapalat" w:hAnsi="GHEA Grapalat" w:cs="Sylfaen"/>
                <w:sz w:val="24"/>
                <w:szCs w:val="24"/>
                <w:lang w:val="hy-AM"/>
              </w:rPr>
              <w:t>ձևակերպումը</w:t>
            </w:r>
            <w:proofErr w:type="spellEnd"/>
            <w:r w:rsidRPr="0030753D">
              <w:rPr>
                <w:rFonts w:ascii="GHEA Grapalat" w:hAnsi="GHEA Grapalat" w:cs="Sylfaen"/>
                <w:sz w:val="24"/>
                <w:szCs w:val="24"/>
                <w:lang w:val="hy-AM"/>
              </w:rPr>
              <w:t xml:space="preserve"> չի արտացոլում </w:t>
            </w:r>
            <w:proofErr w:type="spellStart"/>
            <w:r w:rsidRPr="0030753D">
              <w:rPr>
                <w:rFonts w:ascii="GHEA Grapalat" w:hAnsi="GHEA Grapalat" w:cs="Sylfaen"/>
                <w:sz w:val="24"/>
                <w:szCs w:val="24"/>
                <w:lang w:val="hy-AM"/>
              </w:rPr>
              <w:t>ամփոփաթերթում</w:t>
            </w:r>
            <w:proofErr w:type="spellEnd"/>
            <w:r w:rsidRPr="0030753D">
              <w:rPr>
                <w:rFonts w:ascii="GHEA Grapalat" w:hAnsi="GHEA Grapalat" w:cs="Sylfaen"/>
                <w:sz w:val="24"/>
                <w:szCs w:val="24"/>
                <w:lang w:val="hy-AM"/>
              </w:rPr>
              <w:t xml:space="preserve"> վկայակոչված տրամաբանությունը, քանի որ </w:t>
            </w:r>
            <w:proofErr w:type="spellStart"/>
            <w:r w:rsidRPr="0030753D">
              <w:rPr>
                <w:rFonts w:ascii="GHEA Grapalat" w:hAnsi="GHEA Grapalat" w:cs="Sylfaen"/>
                <w:sz w:val="24"/>
                <w:szCs w:val="24"/>
                <w:lang w:val="hy-AM"/>
              </w:rPr>
              <w:t>փայաբաժնի</w:t>
            </w:r>
            <w:proofErr w:type="spellEnd"/>
            <w:r w:rsidRPr="0030753D">
              <w:rPr>
                <w:rFonts w:ascii="GHEA Grapalat" w:hAnsi="GHEA Grapalat" w:cs="Sylfaen"/>
                <w:sz w:val="24"/>
                <w:szCs w:val="24"/>
                <w:lang w:val="hy-AM"/>
              </w:rPr>
              <w:t xml:space="preserve"> </w:t>
            </w:r>
            <w:proofErr w:type="spellStart"/>
            <w:r w:rsidRPr="0030753D">
              <w:rPr>
                <w:rFonts w:ascii="GHEA Grapalat" w:hAnsi="GHEA Grapalat" w:cs="Sylfaen"/>
                <w:sz w:val="24"/>
                <w:szCs w:val="24"/>
                <w:lang w:val="hy-AM"/>
              </w:rPr>
              <w:t>ձեռքբերմամբ</w:t>
            </w:r>
            <w:proofErr w:type="spellEnd"/>
            <w:r w:rsidRPr="0030753D">
              <w:rPr>
                <w:rFonts w:ascii="GHEA Grapalat" w:hAnsi="GHEA Grapalat" w:cs="Sylfaen"/>
                <w:sz w:val="24"/>
                <w:szCs w:val="24"/>
                <w:lang w:val="hy-AM"/>
              </w:rPr>
              <w:t xml:space="preserve"> տնտեսվարող սուբյեկտի մասնակցության չափը 20 տոկոսի շեմը հատելու դեպքն իր մեջ ներառում է այդ ձեռքբերման արդյունքում նշված շեմը գերազանցող ցանկացած, այդ թվում՝ 35 և 50 տոկոս </w:t>
            </w:r>
            <w:proofErr w:type="spellStart"/>
            <w:r w:rsidRPr="0030753D">
              <w:rPr>
                <w:rFonts w:ascii="GHEA Grapalat" w:hAnsi="GHEA Grapalat" w:cs="Sylfaen"/>
                <w:sz w:val="24"/>
                <w:szCs w:val="24"/>
                <w:lang w:val="hy-AM"/>
              </w:rPr>
              <w:t>շեմերը</w:t>
            </w:r>
            <w:proofErr w:type="spellEnd"/>
            <w:r w:rsidRPr="0030753D">
              <w:rPr>
                <w:rFonts w:ascii="GHEA Grapalat" w:hAnsi="GHEA Grapalat" w:cs="Sylfaen"/>
                <w:sz w:val="24"/>
                <w:szCs w:val="24"/>
                <w:lang w:val="hy-AM"/>
              </w:rPr>
              <w:t xml:space="preserve"> հատելու դեպքերը: Ուստի եթե նախատեսվող կարգավորման նպատակը արդեն իսկ 20 և 35 տոկոս փայաբաժին ունեցող տնտեսվարող սուբյեկտների կողմից </w:t>
            </w:r>
            <w:proofErr w:type="spellStart"/>
            <w:r w:rsidRPr="0030753D">
              <w:rPr>
                <w:rFonts w:ascii="GHEA Grapalat" w:hAnsi="GHEA Grapalat" w:cs="Sylfaen"/>
                <w:sz w:val="24"/>
                <w:szCs w:val="24"/>
                <w:lang w:val="hy-AM"/>
              </w:rPr>
              <w:t>փայաբաժնի</w:t>
            </w:r>
            <w:proofErr w:type="spellEnd"/>
            <w:r w:rsidRPr="0030753D">
              <w:rPr>
                <w:rFonts w:ascii="GHEA Grapalat" w:hAnsi="GHEA Grapalat" w:cs="Sylfaen"/>
                <w:sz w:val="24"/>
                <w:szCs w:val="24"/>
                <w:lang w:val="hy-AM"/>
              </w:rPr>
              <w:t xml:space="preserve"> ձեռքբերման արդյունքում մասնակցության չափը, համապատասխանաբար, 35 և 50 տոկոսի </w:t>
            </w:r>
            <w:proofErr w:type="spellStart"/>
            <w:r w:rsidRPr="0030753D">
              <w:rPr>
                <w:rFonts w:ascii="GHEA Grapalat" w:hAnsi="GHEA Grapalat" w:cs="Sylfaen"/>
                <w:sz w:val="24"/>
                <w:szCs w:val="24"/>
                <w:lang w:val="hy-AM"/>
              </w:rPr>
              <w:t>շեմի</w:t>
            </w:r>
            <w:proofErr w:type="spellEnd"/>
            <w:r w:rsidRPr="0030753D">
              <w:rPr>
                <w:rFonts w:ascii="GHEA Grapalat" w:hAnsi="GHEA Grapalat" w:cs="Sylfaen"/>
                <w:sz w:val="24"/>
                <w:szCs w:val="24"/>
                <w:lang w:val="hy-AM"/>
              </w:rPr>
              <w:t xml:space="preserve"> հատումը որպես համակենտրոնացում </w:t>
            </w:r>
            <w:proofErr w:type="spellStart"/>
            <w:r w:rsidRPr="0030753D">
              <w:rPr>
                <w:rFonts w:ascii="GHEA Grapalat" w:hAnsi="GHEA Grapalat" w:cs="Sylfaen"/>
                <w:sz w:val="24"/>
                <w:szCs w:val="24"/>
                <w:lang w:val="hy-AM"/>
              </w:rPr>
              <w:t>որակելն</w:t>
            </w:r>
            <w:proofErr w:type="spellEnd"/>
            <w:r w:rsidRPr="0030753D">
              <w:rPr>
                <w:rFonts w:ascii="GHEA Grapalat" w:hAnsi="GHEA Grapalat" w:cs="Sylfaen"/>
                <w:sz w:val="24"/>
                <w:szCs w:val="24"/>
                <w:lang w:val="hy-AM"/>
              </w:rPr>
              <w:t xml:space="preserve"> է, ապա </w:t>
            </w:r>
            <w:r w:rsidRPr="0030753D">
              <w:rPr>
                <w:rFonts w:ascii="GHEA Grapalat" w:hAnsi="GHEA Grapalat" w:cs="Sylfaen"/>
                <w:sz w:val="24"/>
                <w:szCs w:val="24"/>
                <w:lang w:val="hy-AM"/>
              </w:rPr>
              <w:lastRenderedPageBreak/>
              <w:t xml:space="preserve">կարծում ենք՝ Նախագծի 1-ին մասի 4-րդ կետի «բ» և «գ» ենթակետերում անհրաժեշտ է հստակեցնել, որ խոսքն արդեն իսկ համապատասխանաբար, 20 և 35 տոկոս փայաբաժին ունեցող տնտեսվարող սուբյեկտների կողմից </w:t>
            </w:r>
            <w:proofErr w:type="spellStart"/>
            <w:r w:rsidRPr="0030753D">
              <w:rPr>
                <w:rFonts w:ascii="GHEA Grapalat" w:hAnsi="GHEA Grapalat" w:cs="Sylfaen"/>
                <w:sz w:val="24"/>
                <w:szCs w:val="24"/>
                <w:lang w:val="hy-AM"/>
              </w:rPr>
              <w:t>փայաբաժնի</w:t>
            </w:r>
            <w:proofErr w:type="spellEnd"/>
            <w:r w:rsidRPr="0030753D">
              <w:rPr>
                <w:rFonts w:ascii="GHEA Grapalat" w:hAnsi="GHEA Grapalat" w:cs="Sylfaen"/>
                <w:sz w:val="24"/>
                <w:szCs w:val="24"/>
                <w:lang w:val="hy-AM"/>
              </w:rPr>
              <w:t xml:space="preserve"> ձեռքբերման մասին է: Միևնույն ժամանակ գտնում ենք, որ նշված </w:t>
            </w:r>
            <w:proofErr w:type="spellStart"/>
            <w:r w:rsidRPr="0030753D">
              <w:rPr>
                <w:rFonts w:ascii="GHEA Grapalat" w:hAnsi="GHEA Grapalat" w:cs="Sylfaen"/>
                <w:sz w:val="24"/>
                <w:szCs w:val="24"/>
                <w:lang w:val="hy-AM"/>
              </w:rPr>
              <w:t>շեմերի</w:t>
            </w:r>
            <w:proofErr w:type="spellEnd"/>
            <w:r w:rsidRPr="0030753D">
              <w:rPr>
                <w:rFonts w:ascii="GHEA Grapalat" w:hAnsi="GHEA Grapalat" w:cs="Sylfaen"/>
                <w:sz w:val="24"/>
                <w:szCs w:val="24"/>
                <w:lang w:val="hy-AM"/>
              </w:rPr>
              <w:t xml:space="preserve"> ընտրությունն ունի լրացուցիչ հիմնավորման կարիք:</w:t>
            </w:r>
          </w:p>
        </w:tc>
        <w:tc>
          <w:tcPr>
            <w:tcW w:w="2268" w:type="dxa"/>
          </w:tcPr>
          <w:p w14:paraId="709B70D7"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Ընդունվել է մասնակի</w:t>
            </w:r>
          </w:p>
        </w:tc>
        <w:tc>
          <w:tcPr>
            <w:tcW w:w="4678" w:type="dxa"/>
          </w:tcPr>
          <w:p w14:paraId="1644CAA4"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 xml:space="preserve">Նախատեսված </w:t>
            </w:r>
            <w:proofErr w:type="spellStart"/>
            <w:r w:rsidRPr="0030753D">
              <w:rPr>
                <w:rFonts w:ascii="GHEA Grapalat" w:hAnsi="GHEA Grapalat"/>
                <w:sz w:val="24"/>
                <w:szCs w:val="24"/>
                <w:lang w:val="hy-AM"/>
              </w:rPr>
              <w:t>շեմերից</w:t>
            </w:r>
            <w:proofErr w:type="spellEnd"/>
            <w:r w:rsidRPr="0030753D">
              <w:rPr>
                <w:rFonts w:ascii="GHEA Grapalat" w:hAnsi="GHEA Grapalat"/>
                <w:sz w:val="24"/>
                <w:szCs w:val="24"/>
                <w:lang w:val="hy-AM"/>
              </w:rPr>
              <w:t xml:space="preserve"> թողնվել է միայն նվազագույնը՝ հիմք ընդունելով գործող իրավակարգավորումը։</w:t>
            </w:r>
          </w:p>
        </w:tc>
      </w:tr>
      <w:tr w:rsidR="0030753D" w:rsidRPr="0030753D" w14:paraId="529D900F" w14:textId="77777777" w:rsidTr="00BB4FBE">
        <w:tc>
          <w:tcPr>
            <w:tcW w:w="749" w:type="dxa"/>
          </w:tcPr>
          <w:p w14:paraId="7A795911"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1C5AD6BE"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14-րդ հոդվածի 8-րդ մասի 2-րդ կետով ուղղահայաց համակենտրոնացումը բնորոշվում է որպես որոշակի փոխկապակցվածություն ունեցող տարբեր ապրանքային շուկաներում </w:t>
            </w:r>
            <w:proofErr w:type="spellStart"/>
            <w:r w:rsidRPr="0030753D">
              <w:rPr>
                <w:rFonts w:ascii="GHEA Grapalat" w:hAnsi="GHEA Grapalat" w:cs="Sylfaen"/>
                <w:sz w:val="24"/>
                <w:szCs w:val="24"/>
                <w:lang w:val="hy-AM"/>
              </w:rPr>
              <w:t>կայացվող</w:t>
            </w:r>
            <w:proofErr w:type="spellEnd"/>
            <w:r w:rsidRPr="0030753D">
              <w:rPr>
                <w:rFonts w:ascii="GHEA Grapalat" w:hAnsi="GHEA Grapalat" w:cs="Sylfaen"/>
                <w:sz w:val="24"/>
                <w:szCs w:val="24"/>
                <w:lang w:val="hy-AM"/>
              </w:rPr>
              <w:t xml:space="preserve"> համակենտրոնացում: Նախագծի 6-րդ հոդվածի 2-րդ մասի 2-րդ կետով ուղղահայաց համաձայնությունը, ի տարբերություն գործող բնորոշման (գործող կարգավորմամբ ուղղահայաց են համարվում որոշակի փոխկապակցվածություն ունեցող տարբեր ապրանքային շուկաներում </w:t>
            </w:r>
            <w:proofErr w:type="spellStart"/>
            <w:r w:rsidRPr="0030753D">
              <w:rPr>
                <w:rFonts w:ascii="GHEA Grapalat" w:hAnsi="GHEA Grapalat" w:cs="Sylfaen"/>
                <w:sz w:val="24"/>
                <w:szCs w:val="24"/>
                <w:lang w:val="hy-AM"/>
              </w:rPr>
              <w:t>կայացվող</w:t>
            </w:r>
            <w:proofErr w:type="spellEnd"/>
            <w:r w:rsidRPr="0030753D">
              <w:rPr>
                <w:rFonts w:ascii="GHEA Grapalat" w:hAnsi="GHEA Grapalat" w:cs="Sylfaen"/>
                <w:sz w:val="24"/>
                <w:szCs w:val="24"/>
                <w:lang w:val="hy-AM"/>
              </w:rPr>
              <w:t xml:space="preserve"> համաձայնությունները), բնորոշվում է որպես միևնույն ապրանքային շուկայում ձեռքբերող և իրացնող, մրցակից չհանդիսացող տնտեսվարող սուբյեկտների միջև կնքվող համաձայնություն, եթե </w:t>
            </w:r>
            <w:proofErr w:type="spellStart"/>
            <w:r w:rsidRPr="0030753D">
              <w:rPr>
                <w:rFonts w:ascii="GHEA Grapalat" w:hAnsi="GHEA Grapalat" w:cs="Sylfaen"/>
                <w:sz w:val="24"/>
                <w:szCs w:val="24"/>
                <w:lang w:val="hy-AM"/>
              </w:rPr>
              <w:t>համաձայնությունն</w:t>
            </w:r>
            <w:proofErr w:type="spellEnd"/>
            <w:r w:rsidRPr="0030753D">
              <w:rPr>
                <w:rFonts w:ascii="GHEA Grapalat" w:hAnsi="GHEA Grapalat" w:cs="Sylfaen"/>
                <w:sz w:val="24"/>
                <w:szCs w:val="24"/>
                <w:lang w:val="hy-AM"/>
              </w:rPr>
              <w:t xml:space="preserve"> առնչվում է տվյալ ապրանքային շուկային:</w:t>
            </w:r>
          </w:p>
          <w:p w14:paraId="63ECEA59"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Ուղղահայաց համաձայնությունը միևնույն ապրանքային շուկայի սահմաններով </w:t>
            </w:r>
            <w:proofErr w:type="spellStart"/>
            <w:r w:rsidRPr="0030753D">
              <w:rPr>
                <w:rFonts w:ascii="GHEA Grapalat" w:hAnsi="GHEA Grapalat" w:cs="Sylfaen"/>
                <w:sz w:val="24"/>
                <w:szCs w:val="24"/>
                <w:lang w:val="hy-AM"/>
              </w:rPr>
              <w:t>պայմանավորելու</w:t>
            </w:r>
            <w:proofErr w:type="spellEnd"/>
            <w:r w:rsidRPr="0030753D">
              <w:rPr>
                <w:rFonts w:ascii="GHEA Grapalat" w:hAnsi="GHEA Grapalat" w:cs="Sylfaen"/>
                <w:sz w:val="24"/>
                <w:szCs w:val="24"/>
                <w:lang w:val="hy-AM"/>
              </w:rPr>
              <w:t xml:space="preserve"> </w:t>
            </w:r>
            <w:r w:rsidRPr="0030753D">
              <w:rPr>
                <w:rFonts w:ascii="GHEA Grapalat" w:hAnsi="GHEA Grapalat" w:cs="Sylfaen"/>
                <w:sz w:val="24"/>
                <w:szCs w:val="24"/>
                <w:lang w:val="hy-AM"/>
              </w:rPr>
              <w:lastRenderedPageBreak/>
              <w:t xml:space="preserve">մոտեցումը բխում է միջազգային </w:t>
            </w:r>
            <w:proofErr w:type="spellStart"/>
            <w:r w:rsidRPr="0030753D">
              <w:rPr>
                <w:rFonts w:ascii="GHEA Grapalat" w:hAnsi="GHEA Grapalat" w:cs="Sylfaen"/>
                <w:sz w:val="24"/>
                <w:szCs w:val="24"/>
                <w:lang w:val="hy-AM"/>
              </w:rPr>
              <w:t>պրակտիկայից</w:t>
            </w:r>
            <w:proofErr w:type="spellEnd"/>
            <w:r w:rsidRPr="0030753D">
              <w:rPr>
                <w:rFonts w:ascii="GHEA Grapalat" w:hAnsi="GHEA Grapalat" w:cs="Sylfaen"/>
                <w:sz w:val="24"/>
                <w:szCs w:val="24"/>
                <w:lang w:val="hy-AM"/>
              </w:rPr>
              <w:t xml:space="preserve">: Միևնույն ժամանակ, նկատի ունենալով այն հանգամանքը, որ ուղղահայաց </w:t>
            </w:r>
            <w:proofErr w:type="spellStart"/>
            <w:r w:rsidRPr="0030753D">
              <w:rPr>
                <w:rFonts w:ascii="GHEA Grapalat" w:hAnsi="GHEA Grapalat" w:cs="Sylfaen"/>
                <w:sz w:val="24"/>
                <w:szCs w:val="24"/>
                <w:lang w:val="hy-AM"/>
              </w:rPr>
              <w:t>համակենտրոնացումն</w:t>
            </w:r>
            <w:proofErr w:type="spellEnd"/>
            <w:r w:rsidRPr="0030753D">
              <w:rPr>
                <w:rFonts w:ascii="GHEA Grapalat" w:hAnsi="GHEA Grapalat" w:cs="Sylfaen"/>
                <w:sz w:val="24"/>
                <w:szCs w:val="24"/>
                <w:lang w:val="hy-AM"/>
              </w:rPr>
              <w:t xml:space="preserve"> իր հերթին, միջազգային պրակտիկայում և տեսական գրականության մեջ բնորոշվում է որպես մրցակից չհամարվող, սակայն միևնույն շուկայում գործունեություն իրականացնող տնտեսվարող սուբյեկտների միացում կամ միաձուլում, առաջարկում ենք քննարկել նաև ուղղահայաց </w:t>
            </w:r>
            <w:proofErr w:type="spellStart"/>
            <w:r w:rsidRPr="0030753D">
              <w:rPr>
                <w:rFonts w:ascii="GHEA Grapalat" w:hAnsi="GHEA Grapalat" w:cs="Sylfaen"/>
                <w:sz w:val="24"/>
                <w:szCs w:val="24"/>
                <w:lang w:val="hy-AM"/>
              </w:rPr>
              <w:t>համակենտրոնցման</w:t>
            </w:r>
            <w:proofErr w:type="spellEnd"/>
            <w:r w:rsidRPr="0030753D">
              <w:rPr>
                <w:rFonts w:ascii="GHEA Grapalat" w:hAnsi="GHEA Grapalat" w:cs="Sylfaen"/>
                <w:sz w:val="24"/>
                <w:szCs w:val="24"/>
                <w:lang w:val="hy-AM"/>
              </w:rPr>
              <w:t xml:space="preserve"> բնորոշման վերանայման նպատակահարմարության հարցը:</w:t>
            </w:r>
          </w:p>
        </w:tc>
        <w:tc>
          <w:tcPr>
            <w:tcW w:w="2268" w:type="dxa"/>
          </w:tcPr>
          <w:p w14:paraId="12E7426F"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Չի ընդունվել</w:t>
            </w:r>
          </w:p>
        </w:tc>
        <w:tc>
          <w:tcPr>
            <w:tcW w:w="4678" w:type="dxa"/>
          </w:tcPr>
          <w:p w14:paraId="4CEC5798"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 xml:space="preserve">Անդամակցելով Եվրասիական տնտեսական միությանը՝ Հայաստանի Հանրապետությունը ստանձնել է պարտականություն </w:t>
            </w:r>
            <w:proofErr w:type="spellStart"/>
            <w:r w:rsidRPr="0030753D">
              <w:rPr>
                <w:rFonts w:ascii="GHEA Grapalat" w:hAnsi="GHEA Grapalat"/>
                <w:sz w:val="24"/>
                <w:szCs w:val="24"/>
                <w:lang w:val="hy-AM"/>
              </w:rPr>
              <w:t>ներդաշնակեցնել</w:t>
            </w:r>
            <w:proofErr w:type="spellEnd"/>
            <w:r w:rsidRPr="0030753D">
              <w:rPr>
                <w:rFonts w:ascii="GHEA Grapalat" w:hAnsi="GHEA Grapalat"/>
                <w:sz w:val="24"/>
                <w:szCs w:val="24"/>
                <w:lang w:val="hy-AM"/>
              </w:rPr>
              <w:t xml:space="preserve"> իր օրենսդրությունը ԵՏՄ </w:t>
            </w:r>
            <w:proofErr w:type="spellStart"/>
            <w:r w:rsidRPr="0030753D">
              <w:rPr>
                <w:rFonts w:ascii="GHEA Grapalat" w:hAnsi="GHEA Grapalat"/>
                <w:sz w:val="24"/>
                <w:szCs w:val="24"/>
                <w:lang w:val="hy-AM"/>
              </w:rPr>
              <w:t>կարգավորումներին</w:t>
            </w:r>
            <w:proofErr w:type="spellEnd"/>
            <w:r w:rsidRPr="0030753D">
              <w:rPr>
                <w:rFonts w:ascii="GHEA Grapalat" w:hAnsi="GHEA Grapalat"/>
                <w:sz w:val="24"/>
                <w:szCs w:val="24"/>
                <w:lang w:val="hy-AM"/>
              </w:rPr>
              <w:t>։ Այսպիսով, ուղղահայաց հակամրցակցային համաձայնությունների հասկացությունը սահմանելիս հիմք են ընդունվել «Եվրասիական տնտեսական միության մասին» պայմանագրի կարգավորումները, ինչպես նաև ԵՏՄ փորձագետների եզրակացությունները։</w:t>
            </w:r>
          </w:p>
          <w:p w14:paraId="21E92FB2" w14:textId="77777777" w:rsidR="0030753D" w:rsidRPr="0030753D" w:rsidRDefault="0030753D" w:rsidP="00BB4FBE">
            <w:pPr>
              <w:spacing w:after="0"/>
              <w:jc w:val="both"/>
              <w:rPr>
                <w:rFonts w:ascii="GHEA Grapalat" w:hAnsi="GHEA Grapalat"/>
                <w:sz w:val="24"/>
                <w:szCs w:val="24"/>
                <w:lang w:val="hy-AM"/>
              </w:rPr>
            </w:pPr>
          </w:p>
          <w:p w14:paraId="09D79277" w14:textId="77777777" w:rsidR="0030753D" w:rsidRPr="0030753D" w:rsidRDefault="0030753D" w:rsidP="00BB4FBE">
            <w:pPr>
              <w:spacing w:after="0"/>
              <w:jc w:val="center"/>
              <w:rPr>
                <w:rFonts w:ascii="GHEA Grapalat" w:hAnsi="GHEA Grapalat" w:cs="Sylfaen"/>
                <w:sz w:val="24"/>
                <w:szCs w:val="24"/>
                <w:lang w:val="hy-AM"/>
              </w:rPr>
            </w:pPr>
            <w:r w:rsidRPr="0030753D">
              <w:rPr>
                <w:rFonts w:ascii="GHEA Grapalat" w:hAnsi="GHEA Grapalat"/>
                <w:sz w:val="24"/>
                <w:szCs w:val="24"/>
                <w:lang w:val="hy-AM"/>
              </w:rPr>
              <w:t xml:space="preserve">ԵՏՄ կարգավորումները չեն տարածվում համակենտրոնացումների վրա, այդ իսկ պատճառով այս դեպքում պահպանվել է գործող Օրենքի </w:t>
            </w:r>
            <w:r w:rsidRPr="0030753D">
              <w:rPr>
                <w:rFonts w:ascii="GHEA Grapalat" w:hAnsi="GHEA Grapalat"/>
                <w:sz w:val="24"/>
                <w:szCs w:val="24"/>
                <w:lang w:val="hy-AM"/>
              </w:rPr>
              <w:lastRenderedPageBreak/>
              <w:t xml:space="preserve">կարգավորումը։ Ավելին, հարկ է նկատել, որ համակենտրոնացման ինստիտուտը </w:t>
            </w:r>
            <w:proofErr w:type="spellStart"/>
            <w:r w:rsidRPr="0030753D">
              <w:rPr>
                <w:rFonts w:ascii="GHEA Grapalat" w:hAnsi="GHEA Grapalat"/>
                <w:sz w:val="24"/>
                <w:szCs w:val="24"/>
                <w:lang w:val="hy-AM"/>
              </w:rPr>
              <w:t>բովանդակապես</w:t>
            </w:r>
            <w:proofErr w:type="spellEnd"/>
            <w:r w:rsidRPr="0030753D">
              <w:rPr>
                <w:rFonts w:ascii="GHEA Grapalat" w:hAnsi="GHEA Grapalat"/>
                <w:sz w:val="24"/>
                <w:szCs w:val="24"/>
                <w:lang w:val="hy-AM"/>
              </w:rPr>
              <w:t xml:space="preserve"> տարբերվում է հակամրցակցային համաձայնությունից։ Համակենտրոնացումների նկատմամբ պետական վերահսկողության իրականացումը հնարավորություն է տալիս վերահսկել և կանխարգելել ապրանքային շուկաներում արհեստական </w:t>
            </w:r>
            <w:proofErr w:type="spellStart"/>
            <w:r w:rsidRPr="0030753D">
              <w:rPr>
                <w:rFonts w:ascii="GHEA Grapalat" w:hAnsi="GHEA Grapalat"/>
                <w:sz w:val="24"/>
                <w:szCs w:val="24"/>
                <w:lang w:val="hy-AM"/>
              </w:rPr>
              <w:t>կենտրոնացումները</w:t>
            </w:r>
            <w:proofErr w:type="spellEnd"/>
            <w:r w:rsidRPr="0030753D">
              <w:rPr>
                <w:rFonts w:ascii="GHEA Grapalat" w:hAnsi="GHEA Grapalat"/>
                <w:sz w:val="24"/>
                <w:szCs w:val="24"/>
                <w:lang w:val="hy-AM"/>
              </w:rPr>
              <w:t xml:space="preserve">, ինչպես նաև հանդիսանում է ապրանքային շուկաներում տեղի ունեցող գործընթացների, շուկաների կառուցվածքի, գործող սուբյեկտների և այլ հատկանիշների վերաբերյալ արժեքավոր տեղեկատվության հավաքագրման միջոց: Այդ պատճառով որպես «ուղղահայաց համակենտրոնացում» սահմանվել է </w:t>
            </w:r>
            <w:r w:rsidRPr="0030753D">
              <w:rPr>
                <w:rFonts w:ascii="GHEA Grapalat" w:hAnsi="GHEA Grapalat" w:cs="Sylfaen"/>
                <w:sz w:val="24"/>
                <w:szCs w:val="24"/>
                <w:lang w:val="hy-AM"/>
              </w:rPr>
              <w:t xml:space="preserve">որոշակի փոխկապակցվածություն ունեցող տարբեր ապրանքային շուկաներում </w:t>
            </w:r>
            <w:proofErr w:type="spellStart"/>
            <w:r w:rsidRPr="0030753D">
              <w:rPr>
                <w:rFonts w:ascii="GHEA Grapalat" w:hAnsi="GHEA Grapalat" w:cs="Sylfaen"/>
                <w:sz w:val="24"/>
                <w:szCs w:val="24"/>
                <w:lang w:val="hy-AM"/>
              </w:rPr>
              <w:t>կայացվող</w:t>
            </w:r>
            <w:proofErr w:type="spellEnd"/>
            <w:r w:rsidRPr="0030753D">
              <w:rPr>
                <w:rFonts w:ascii="GHEA Grapalat" w:hAnsi="GHEA Grapalat" w:cs="Sylfaen"/>
                <w:sz w:val="24"/>
                <w:szCs w:val="24"/>
                <w:lang w:val="hy-AM"/>
              </w:rPr>
              <w:t xml:space="preserve"> </w:t>
            </w:r>
            <w:proofErr w:type="spellStart"/>
            <w:r w:rsidRPr="0030753D">
              <w:rPr>
                <w:rFonts w:ascii="GHEA Grapalat" w:hAnsi="GHEA Grapalat" w:cs="Sylfaen"/>
                <w:sz w:val="24"/>
                <w:szCs w:val="24"/>
                <w:lang w:val="hy-AM"/>
              </w:rPr>
              <w:t>համակենտրոնացումները</w:t>
            </w:r>
            <w:proofErr w:type="spellEnd"/>
            <w:r w:rsidRPr="0030753D">
              <w:rPr>
                <w:rFonts w:ascii="GHEA Grapalat" w:hAnsi="GHEA Grapalat" w:cs="Sylfaen"/>
                <w:sz w:val="24"/>
                <w:szCs w:val="24"/>
                <w:lang w:val="hy-AM"/>
              </w:rPr>
              <w:t xml:space="preserve">, որը թույլ կտա իրականացնել վերահսկողություն գործարքների առավել լայն շրջանակի </w:t>
            </w:r>
            <w:r w:rsidRPr="0030753D">
              <w:rPr>
                <w:rFonts w:ascii="GHEA Grapalat" w:hAnsi="GHEA Grapalat" w:cs="Sylfaen"/>
                <w:sz w:val="24"/>
                <w:szCs w:val="24"/>
                <w:lang w:val="hy-AM"/>
              </w:rPr>
              <w:lastRenderedPageBreak/>
              <w:t>նկատմամբ, քան եթե «ուղղահայաց համակենտրոնացման» հասկացությունը սահմանվի նույն սկզբունքով ինչ «ուղղահայաց համաձայնությունը»:</w:t>
            </w:r>
          </w:p>
          <w:p w14:paraId="2E1A87B1" w14:textId="77777777" w:rsidR="0030753D" w:rsidRPr="0030753D" w:rsidRDefault="0030753D" w:rsidP="00BB4FBE">
            <w:pPr>
              <w:jc w:val="both"/>
              <w:rPr>
                <w:lang w:val="hy-AM"/>
              </w:rPr>
            </w:pPr>
            <w:r w:rsidRPr="0030753D">
              <w:rPr>
                <w:rFonts w:ascii="GHEA Grapalat" w:hAnsi="GHEA Grapalat" w:cs="Sylfaen"/>
                <w:sz w:val="24"/>
                <w:szCs w:val="24"/>
                <w:lang w:val="hy-AM"/>
              </w:rPr>
              <w:t xml:space="preserve"> </w:t>
            </w:r>
          </w:p>
          <w:p w14:paraId="4AD46E70"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cs="Sylfaen"/>
                <w:sz w:val="24"/>
                <w:szCs w:val="24"/>
                <w:lang w:val="hy-AM"/>
              </w:rPr>
              <w:t xml:space="preserve"> </w:t>
            </w:r>
          </w:p>
        </w:tc>
      </w:tr>
      <w:tr w:rsidR="0030753D" w:rsidRPr="0030753D" w14:paraId="16563DDB" w14:textId="77777777" w:rsidTr="00BB4FBE">
        <w:tc>
          <w:tcPr>
            <w:tcW w:w="749" w:type="dxa"/>
          </w:tcPr>
          <w:p w14:paraId="01AC7355"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4FD13C39"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15-րդ հոդվածի 2-րդ մասի 1-ին կետում «...գործողությունը...ուժի մեջ մտնելուց» </w:t>
            </w:r>
            <w:proofErr w:type="spellStart"/>
            <w:r w:rsidRPr="0030753D">
              <w:rPr>
                <w:rFonts w:ascii="GHEA Grapalat" w:hAnsi="GHEA Grapalat" w:cs="Sylfaen"/>
                <w:sz w:val="24"/>
                <w:szCs w:val="24"/>
                <w:lang w:val="hy-AM"/>
              </w:rPr>
              <w:t>ձևակերպումն</w:t>
            </w:r>
            <w:proofErr w:type="spellEnd"/>
            <w:r w:rsidRPr="0030753D">
              <w:rPr>
                <w:rFonts w:ascii="GHEA Grapalat" w:hAnsi="GHEA Grapalat" w:cs="Sylfaen"/>
                <w:sz w:val="24"/>
                <w:szCs w:val="24"/>
                <w:lang w:val="hy-AM"/>
              </w:rPr>
              <w:t xml:space="preserve"> առաջարկում ենք խմբագրել, քանի որ գործողության նկատմամբ «ուժի մեջ մտնել» </w:t>
            </w:r>
            <w:proofErr w:type="spellStart"/>
            <w:r w:rsidRPr="0030753D">
              <w:rPr>
                <w:rFonts w:ascii="GHEA Grapalat" w:hAnsi="GHEA Grapalat" w:cs="Sylfaen"/>
                <w:sz w:val="24"/>
                <w:szCs w:val="24"/>
                <w:lang w:val="hy-AM"/>
              </w:rPr>
              <w:t>եզրույթը</w:t>
            </w:r>
            <w:proofErr w:type="spellEnd"/>
            <w:r w:rsidRPr="0030753D">
              <w:rPr>
                <w:rFonts w:ascii="GHEA Grapalat" w:hAnsi="GHEA Grapalat" w:cs="Sylfaen"/>
                <w:sz w:val="24"/>
                <w:szCs w:val="24"/>
                <w:lang w:val="hy-AM"/>
              </w:rPr>
              <w:t xml:space="preserve"> կիրառելի չէ:</w:t>
            </w:r>
          </w:p>
        </w:tc>
        <w:tc>
          <w:tcPr>
            <w:tcW w:w="2268" w:type="dxa"/>
          </w:tcPr>
          <w:p w14:paraId="29004754"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t>Ընդունվել է</w:t>
            </w:r>
          </w:p>
        </w:tc>
        <w:tc>
          <w:tcPr>
            <w:tcW w:w="4678" w:type="dxa"/>
          </w:tcPr>
          <w:p w14:paraId="0ABD2C39"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Նախագծում կատարվել են համապատասխան փոփոխություններ։</w:t>
            </w:r>
          </w:p>
        </w:tc>
      </w:tr>
      <w:tr w:rsidR="0030753D" w:rsidRPr="0030753D" w14:paraId="347204E1" w14:textId="77777777" w:rsidTr="00BB4FBE">
        <w:tc>
          <w:tcPr>
            <w:tcW w:w="749" w:type="dxa"/>
          </w:tcPr>
          <w:p w14:paraId="058FC86A"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7808336A"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15-րդ հոդվածի 3-րդ մասի համաձայն՝ Հանձնաժողովն անձանց խմբի ցուցակը ստանալուց հետո 10 օրվա ընթացքում դիմողին ներկայացնում է կամ ցուցակը ստանալու և այն Հանձնաժողովի պաշտոնական կայքում տեղադրելու վերաբերյալ, կամ Հանձնաժողովի որոշմամբ սահմանված </w:t>
            </w:r>
            <w:proofErr w:type="spellStart"/>
            <w:r w:rsidRPr="0030753D">
              <w:rPr>
                <w:rFonts w:ascii="GHEA Grapalat" w:hAnsi="GHEA Grapalat" w:cs="Sylfaen"/>
                <w:sz w:val="24"/>
                <w:szCs w:val="24"/>
                <w:lang w:val="hy-AM"/>
              </w:rPr>
              <w:t>ձևը</w:t>
            </w:r>
            <w:proofErr w:type="spellEnd"/>
            <w:r w:rsidRPr="0030753D">
              <w:rPr>
                <w:rFonts w:ascii="GHEA Grapalat" w:hAnsi="GHEA Grapalat" w:cs="Sylfaen"/>
                <w:sz w:val="24"/>
                <w:szCs w:val="24"/>
                <w:lang w:val="hy-AM"/>
              </w:rPr>
              <w:t xml:space="preserve"> կամ պայմանները չպահպանելու վերաբերյալ </w:t>
            </w:r>
            <w:proofErr w:type="spellStart"/>
            <w:r w:rsidRPr="0030753D">
              <w:rPr>
                <w:rFonts w:ascii="GHEA Grapalat" w:hAnsi="GHEA Grapalat" w:cs="Sylfaen"/>
                <w:sz w:val="24"/>
                <w:szCs w:val="24"/>
                <w:lang w:val="hy-AM"/>
              </w:rPr>
              <w:t>ծանուցումներ</w:t>
            </w:r>
            <w:proofErr w:type="spellEnd"/>
            <w:r w:rsidRPr="0030753D">
              <w:rPr>
                <w:rFonts w:ascii="GHEA Grapalat" w:hAnsi="GHEA Grapalat" w:cs="Sylfaen"/>
                <w:sz w:val="24"/>
                <w:szCs w:val="24"/>
                <w:lang w:val="hy-AM"/>
              </w:rPr>
              <w:t xml:space="preserve">: Գտնում ենք, որ Հանձնաժողովի որոշմամբ սահմանված </w:t>
            </w:r>
            <w:proofErr w:type="spellStart"/>
            <w:r w:rsidRPr="0030753D">
              <w:rPr>
                <w:rFonts w:ascii="GHEA Grapalat" w:hAnsi="GHEA Grapalat" w:cs="Sylfaen"/>
                <w:sz w:val="24"/>
                <w:szCs w:val="24"/>
                <w:lang w:val="hy-AM"/>
              </w:rPr>
              <w:t>ձևը</w:t>
            </w:r>
            <w:proofErr w:type="spellEnd"/>
            <w:r w:rsidRPr="0030753D">
              <w:rPr>
                <w:rFonts w:ascii="GHEA Grapalat" w:hAnsi="GHEA Grapalat" w:cs="Sylfaen"/>
                <w:sz w:val="24"/>
                <w:szCs w:val="24"/>
                <w:lang w:val="hy-AM"/>
              </w:rPr>
              <w:t xml:space="preserve"> կամ պայմանները չպահպանելու վերաբերյալ ծանուցման իրավական </w:t>
            </w:r>
            <w:proofErr w:type="spellStart"/>
            <w:r w:rsidRPr="0030753D">
              <w:rPr>
                <w:rFonts w:ascii="GHEA Grapalat" w:hAnsi="GHEA Grapalat" w:cs="Sylfaen"/>
                <w:sz w:val="24"/>
                <w:szCs w:val="24"/>
                <w:lang w:val="hy-AM"/>
              </w:rPr>
              <w:t>հետևանքն</w:t>
            </w:r>
            <w:proofErr w:type="spellEnd"/>
            <w:r w:rsidRPr="0030753D">
              <w:rPr>
                <w:rFonts w:ascii="GHEA Grapalat" w:hAnsi="GHEA Grapalat" w:cs="Sylfaen"/>
                <w:sz w:val="24"/>
                <w:szCs w:val="24"/>
                <w:lang w:val="hy-AM"/>
              </w:rPr>
              <w:t xml:space="preserve"> ունի հստակեցման կարիք, մասնավորապես՝ հարց է ծագում՝ արդյոք նշված դեպքում տնտեսվարող սուբյեկտներին տրվում է ցուցակը Հանձնաժողովի որոշմամբ սահմանված </w:t>
            </w:r>
            <w:proofErr w:type="spellStart"/>
            <w:r w:rsidRPr="0030753D">
              <w:rPr>
                <w:rFonts w:ascii="GHEA Grapalat" w:hAnsi="GHEA Grapalat" w:cs="Sylfaen"/>
                <w:sz w:val="24"/>
                <w:szCs w:val="24"/>
                <w:lang w:val="hy-AM"/>
              </w:rPr>
              <w:t>ձևին</w:t>
            </w:r>
            <w:proofErr w:type="spellEnd"/>
            <w:r w:rsidRPr="0030753D">
              <w:rPr>
                <w:rFonts w:ascii="GHEA Grapalat" w:hAnsi="GHEA Grapalat" w:cs="Sylfaen"/>
                <w:sz w:val="24"/>
                <w:szCs w:val="24"/>
                <w:lang w:val="hy-AM"/>
              </w:rPr>
              <w:t xml:space="preserve"> կամ պայմաններին համապատասխանեցնելուց հետո </w:t>
            </w:r>
            <w:r w:rsidRPr="0030753D">
              <w:rPr>
                <w:rFonts w:ascii="GHEA Grapalat" w:hAnsi="GHEA Grapalat" w:cs="Sylfaen"/>
                <w:sz w:val="24"/>
                <w:szCs w:val="24"/>
                <w:lang w:val="hy-AM"/>
              </w:rPr>
              <w:lastRenderedPageBreak/>
              <w:t>այն կրկին Հանձնաժողով ներկայացնելու հնարավորություն, թե՝ ոչ:</w:t>
            </w:r>
          </w:p>
        </w:tc>
        <w:tc>
          <w:tcPr>
            <w:tcW w:w="2268" w:type="dxa"/>
          </w:tcPr>
          <w:p w14:paraId="6DA97074"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Ընդունվել է</w:t>
            </w:r>
          </w:p>
        </w:tc>
        <w:tc>
          <w:tcPr>
            <w:tcW w:w="4678" w:type="dxa"/>
          </w:tcPr>
          <w:p w14:paraId="184BF13A"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Նախագծում կատարվել են համապատասխան փոփոխություններ։</w:t>
            </w:r>
          </w:p>
        </w:tc>
      </w:tr>
      <w:tr w:rsidR="0030753D" w:rsidRPr="0030753D" w14:paraId="4872D17A" w14:textId="77777777" w:rsidTr="00BB4FBE">
        <w:tc>
          <w:tcPr>
            <w:tcW w:w="749" w:type="dxa"/>
          </w:tcPr>
          <w:p w14:paraId="1531F82B"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390A4796"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31-րդ հոդվածի 1-ին մասով նույն հոդվածի 2-րդ մասի համար սահմանված բացառության անհրաժեշտությունը կարծում ենք՝ բացակայում է, քանի որ երկու դեպքում էլ Հանձնաժողովի անդամի պաշտոնավարման ժամկետի </w:t>
            </w:r>
            <w:proofErr w:type="spellStart"/>
            <w:r w:rsidRPr="0030753D">
              <w:rPr>
                <w:rFonts w:ascii="GHEA Grapalat" w:hAnsi="GHEA Grapalat" w:cs="Sylfaen"/>
                <w:sz w:val="24"/>
                <w:szCs w:val="24"/>
                <w:lang w:val="hy-AM"/>
              </w:rPr>
              <w:t>տևողությունը</w:t>
            </w:r>
            <w:proofErr w:type="spellEnd"/>
            <w:r w:rsidRPr="0030753D">
              <w:rPr>
                <w:rFonts w:ascii="GHEA Grapalat" w:hAnsi="GHEA Grapalat" w:cs="Sylfaen"/>
                <w:sz w:val="24"/>
                <w:szCs w:val="24"/>
                <w:lang w:val="hy-AM"/>
              </w:rPr>
              <w:t xml:space="preserve"> 5 տարի է:</w:t>
            </w:r>
          </w:p>
        </w:tc>
        <w:tc>
          <w:tcPr>
            <w:tcW w:w="2268" w:type="dxa"/>
          </w:tcPr>
          <w:p w14:paraId="5A6927A6"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t>Ընդունվել է</w:t>
            </w:r>
          </w:p>
        </w:tc>
        <w:tc>
          <w:tcPr>
            <w:tcW w:w="4678" w:type="dxa"/>
          </w:tcPr>
          <w:p w14:paraId="0F22E333"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Նախագծում կատարվել են համապատասխան փոփոխություններ։</w:t>
            </w:r>
          </w:p>
        </w:tc>
      </w:tr>
      <w:tr w:rsidR="0030753D" w:rsidRPr="0030753D" w14:paraId="0F647E12" w14:textId="77777777" w:rsidTr="00BB4FBE">
        <w:tc>
          <w:tcPr>
            <w:tcW w:w="749" w:type="dxa"/>
          </w:tcPr>
          <w:p w14:paraId="77DB06C4"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289F780D"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Նախագծի 32-րդ հոդվածով նախատեսվող՝ Հանձնաժողովի անդամի գործունեության որոշ երաշխիքներ կարծում ենք՝ ունեն լրացուցիչ հիմնավորման կարիք: Մասնավորապես՝ նշված հոդվածի 4-րդ մասի համաձայն՝ Հանձնաժողովի անդամն իր լիազորությունների իրականացման ժամանակահատվածում և դրանից հետո չի կարող բացատրություն տալ կամ հարցաքննվել պաշտոնավարման ընթացքում իր կատարած կամ իր ընդհանուր ղեկավարման ներքո կատարված ուսումնասիրությունների, հետազոտությունների, լսած վկայությունների, վկայություն տվող անձանց, իր կամ Հանձնաժողովի կողմից ձեռքբերված փաստաթղթերի, տվյալների, տեղեկությունների էության, իր կամ իր մասնակցությամբ կայացրած որոշումների կապակցությամբ:</w:t>
            </w:r>
          </w:p>
          <w:p w14:paraId="08CD6577"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Նախատեսվող կարգավորմանը հարկ ենք համարում անդրադառնալ դատավարական օրենսգրքերի՝ որպես վկա ցուցմունք տալու պարտականությունից ազատված </w:t>
            </w:r>
            <w:r w:rsidRPr="0030753D">
              <w:rPr>
                <w:rFonts w:ascii="GHEA Grapalat" w:hAnsi="GHEA Grapalat" w:cs="Sylfaen"/>
                <w:sz w:val="24"/>
                <w:szCs w:val="24"/>
                <w:lang w:val="hy-AM"/>
              </w:rPr>
              <w:lastRenderedPageBreak/>
              <w:t xml:space="preserve">անձանց շրջանակն </w:t>
            </w:r>
            <w:proofErr w:type="spellStart"/>
            <w:r w:rsidRPr="0030753D">
              <w:rPr>
                <w:rFonts w:ascii="GHEA Grapalat" w:hAnsi="GHEA Grapalat" w:cs="Sylfaen"/>
                <w:sz w:val="24"/>
                <w:szCs w:val="24"/>
                <w:lang w:val="hy-AM"/>
              </w:rPr>
              <w:t>ամրագրող</w:t>
            </w:r>
            <w:proofErr w:type="spellEnd"/>
            <w:r w:rsidRPr="0030753D">
              <w:rPr>
                <w:rFonts w:ascii="GHEA Grapalat" w:hAnsi="GHEA Grapalat" w:cs="Sylfaen"/>
                <w:sz w:val="24"/>
                <w:szCs w:val="24"/>
                <w:lang w:val="hy-AM"/>
              </w:rPr>
              <w:t xml:space="preserve"> </w:t>
            </w:r>
            <w:proofErr w:type="spellStart"/>
            <w:r w:rsidRPr="0030753D">
              <w:rPr>
                <w:rFonts w:ascii="GHEA Grapalat" w:hAnsi="GHEA Grapalat" w:cs="Sylfaen"/>
                <w:sz w:val="24"/>
                <w:szCs w:val="24"/>
                <w:lang w:val="hy-AM"/>
              </w:rPr>
              <w:t>կարգավորումների</w:t>
            </w:r>
            <w:proofErr w:type="spellEnd"/>
            <w:r w:rsidRPr="0030753D">
              <w:rPr>
                <w:rFonts w:ascii="GHEA Grapalat" w:hAnsi="GHEA Grapalat" w:cs="Sylfaen"/>
                <w:sz w:val="24"/>
                <w:szCs w:val="24"/>
                <w:lang w:val="hy-AM"/>
              </w:rPr>
              <w:t xml:space="preserve"> և դրանց հիմքում ընկած տրամաբանության լույսի ներքո: Այսպես, ՀՀ քրեական դատավարության օրենսգրքի 86-րդ, ՀՀ քաղաքացիական դատավարության օրենսգրքի 43-րդ և ՀՀ վարչական դատավարության օրենսգրքի 33-րդ հոդվածներով սահմանված է այն անձանց սպառիչ շրջանակը, ովքեր դատարանում չեն կարող հարցաքննվել որպես վկա: Դրանք են՝  անձինք, որոնք ֆիզիկական կամ հոգեկան </w:t>
            </w:r>
            <w:proofErr w:type="spellStart"/>
            <w:r w:rsidRPr="0030753D">
              <w:rPr>
                <w:rFonts w:ascii="GHEA Grapalat" w:hAnsi="GHEA Grapalat" w:cs="Sylfaen"/>
                <w:sz w:val="24"/>
                <w:szCs w:val="24"/>
                <w:lang w:val="hy-AM"/>
              </w:rPr>
              <w:t>արատի</w:t>
            </w:r>
            <w:proofErr w:type="spellEnd"/>
            <w:r w:rsidRPr="0030753D">
              <w:rPr>
                <w:rFonts w:ascii="GHEA Grapalat" w:hAnsi="GHEA Grapalat" w:cs="Sylfaen"/>
                <w:sz w:val="24"/>
                <w:szCs w:val="24"/>
                <w:lang w:val="hy-AM"/>
              </w:rPr>
              <w:t xml:space="preserve"> պատճառով ունակ չեն ճիշտ ընկալելու և վերարտադրելու գործով ապացուցման ենթակա հանգամանքները, փաստաբանը, դատավարության մասնակցի ներկայացուցիչը, դատավորը, այդ թվում նաև՝ լիազորությունները դադարեցված, դատախազը, քննիչը, հետաքննության մարմնի աշխատակիցը և դատական նիստի քարտուղարը, </w:t>
            </w:r>
            <w:proofErr w:type="spellStart"/>
            <w:r w:rsidRPr="0030753D">
              <w:rPr>
                <w:rFonts w:ascii="GHEA Grapalat" w:hAnsi="GHEA Grapalat" w:cs="Sylfaen"/>
                <w:sz w:val="24"/>
                <w:szCs w:val="24"/>
                <w:lang w:val="hy-AM"/>
              </w:rPr>
              <w:t>արբիտրը</w:t>
            </w:r>
            <w:proofErr w:type="spellEnd"/>
            <w:r w:rsidRPr="0030753D">
              <w:rPr>
                <w:rFonts w:ascii="GHEA Grapalat" w:hAnsi="GHEA Grapalat" w:cs="Sylfaen"/>
                <w:sz w:val="24"/>
                <w:szCs w:val="24"/>
                <w:lang w:val="hy-AM"/>
              </w:rPr>
              <w:t xml:space="preserve"> կամ </w:t>
            </w:r>
            <w:proofErr w:type="spellStart"/>
            <w:r w:rsidRPr="0030753D">
              <w:rPr>
                <w:rFonts w:ascii="GHEA Grapalat" w:hAnsi="GHEA Grapalat" w:cs="Sylfaen"/>
                <w:sz w:val="24"/>
                <w:szCs w:val="24"/>
                <w:lang w:val="hy-AM"/>
              </w:rPr>
              <w:t>հաշտարարը</w:t>
            </w:r>
            <w:proofErr w:type="spellEnd"/>
            <w:r w:rsidRPr="0030753D">
              <w:rPr>
                <w:rFonts w:ascii="GHEA Grapalat" w:hAnsi="GHEA Grapalat" w:cs="Sylfaen"/>
                <w:sz w:val="24"/>
                <w:szCs w:val="24"/>
                <w:lang w:val="hy-AM"/>
              </w:rPr>
              <w:t xml:space="preserve">, մարդու իրավունքների պաշտպանը, </w:t>
            </w:r>
            <w:proofErr w:type="spellStart"/>
            <w:r w:rsidRPr="0030753D">
              <w:rPr>
                <w:rFonts w:ascii="GHEA Grapalat" w:hAnsi="GHEA Grapalat" w:cs="Sylfaen"/>
                <w:sz w:val="24"/>
                <w:szCs w:val="24"/>
                <w:lang w:val="hy-AM"/>
              </w:rPr>
              <w:t>ձեռնադրված</w:t>
            </w:r>
            <w:proofErr w:type="spellEnd"/>
            <w:r w:rsidRPr="0030753D">
              <w:rPr>
                <w:rFonts w:ascii="GHEA Grapalat" w:hAnsi="GHEA Grapalat" w:cs="Sylfaen"/>
                <w:sz w:val="24"/>
                <w:szCs w:val="24"/>
                <w:lang w:val="hy-AM"/>
              </w:rPr>
              <w:t xml:space="preserve"> </w:t>
            </w:r>
            <w:proofErr w:type="spellStart"/>
            <w:r w:rsidRPr="0030753D">
              <w:rPr>
                <w:rFonts w:ascii="GHEA Grapalat" w:hAnsi="GHEA Grapalat" w:cs="Sylfaen"/>
                <w:sz w:val="24"/>
                <w:szCs w:val="24"/>
                <w:lang w:val="hy-AM"/>
              </w:rPr>
              <w:t>հոգևորական-խոստովանահայրը</w:t>
            </w:r>
            <w:proofErr w:type="spellEnd"/>
            <w:r w:rsidRPr="0030753D">
              <w:rPr>
                <w:rFonts w:ascii="GHEA Grapalat" w:hAnsi="GHEA Grapalat" w:cs="Sylfaen"/>
                <w:sz w:val="24"/>
                <w:szCs w:val="24"/>
                <w:lang w:val="hy-AM"/>
              </w:rPr>
              <w:t>:</w:t>
            </w:r>
          </w:p>
          <w:p w14:paraId="4ABA386F"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Թվարկված անձանց շրջանակի վերլուծության արդյունքում կարելի է փաստել, որ դատավարության շրջանակներում այսպես կոչված «վկայի </w:t>
            </w:r>
            <w:proofErr w:type="spellStart"/>
            <w:r w:rsidRPr="0030753D">
              <w:rPr>
                <w:rFonts w:ascii="GHEA Grapalat" w:hAnsi="GHEA Grapalat" w:cs="Sylfaen"/>
                <w:sz w:val="24"/>
                <w:szCs w:val="24"/>
                <w:lang w:val="hy-AM"/>
              </w:rPr>
              <w:t>իմունիտետով</w:t>
            </w:r>
            <w:proofErr w:type="spellEnd"/>
            <w:r w:rsidRPr="0030753D">
              <w:rPr>
                <w:rFonts w:ascii="GHEA Grapalat" w:hAnsi="GHEA Grapalat" w:cs="Sylfaen"/>
                <w:sz w:val="24"/>
                <w:szCs w:val="24"/>
                <w:lang w:val="hy-AM"/>
              </w:rPr>
              <w:t xml:space="preserve">» օժտված են այն անձինք, որոնց՝ դատարանում որպես վկա ցուցմունք չտալու իրավունքը պայմանավորված է ցուցմունք տալու հնարավորությունը բացառող օբյեկտիվ </w:t>
            </w:r>
            <w:proofErr w:type="spellStart"/>
            <w:r w:rsidRPr="0030753D">
              <w:rPr>
                <w:rFonts w:ascii="GHEA Grapalat" w:hAnsi="GHEA Grapalat" w:cs="Sylfaen"/>
                <w:sz w:val="24"/>
                <w:szCs w:val="24"/>
                <w:lang w:val="hy-AM"/>
              </w:rPr>
              <w:t>հանգամանքերով</w:t>
            </w:r>
            <w:proofErr w:type="spellEnd"/>
            <w:r w:rsidRPr="0030753D">
              <w:rPr>
                <w:rFonts w:ascii="GHEA Grapalat" w:hAnsi="GHEA Grapalat" w:cs="Sylfaen"/>
                <w:sz w:val="24"/>
                <w:szCs w:val="24"/>
                <w:lang w:val="hy-AM"/>
              </w:rPr>
              <w:t xml:space="preserve"> կամ բխում է ծառայողական կամ </w:t>
            </w:r>
            <w:proofErr w:type="spellStart"/>
            <w:r w:rsidRPr="0030753D">
              <w:rPr>
                <w:rFonts w:ascii="GHEA Grapalat" w:hAnsi="GHEA Grapalat" w:cs="Sylfaen"/>
                <w:sz w:val="24"/>
                <w:szCs w:val="24"/>
                <w:lang w:val="hy-AM"/>
              </w:rPr>
              <w:lastRenderedPageBreak/>
              <w:t>մասանագիտական</w:t>
            </w:r>
            <w:proofErr w:type="spellEnd"/>
            <w:r w:rsidRPr="0030753D">
              <w:rPr>
                <w:rFonts w:ascii="GHEA Grapalat" w:hAnsi="GHEA Grapalat" w:cs="Sylfaen"/>
                <w:sz w:val="24"/>
                <w:szCs w:val="24"/>
                <w:lang w:val="hy-AM"/>
              </w:rPr>
              <w:t xml:space="preserve"> գործունեության ընթացքում հայտնի դարձած տեղեկատվությունը չհրապարակելու պարտականությամբ: Ընդ որում, այս անձանց շրջանակում առանձին խումբ են կազմում այնպիսի պաշտոնատար անձինք, ինչպիսիք են՝ դատավորը, այդ թվում նաև՝ լիազորությունները դադարեցված, դատախազը, քննիչը, հետաքննության մարմնի աշխատակիցը և դատական նիստի քարտուղարը, </w:t>
            </w:r>
            <w:proofErr w:type="spellStart"/>
            <w:r w:rsidRPr="0030753D">
              <w:rPr>
                <w:rFonts w:ascii="GHEA Grapalat" w:hAnsi="GHEA Grapalat" w:cs="Sylfaen"/>
                <w:sz w:val="24"/>
                <w:szCs w:val="24"/>
                <w:lang w:val="hy-AM"/>
              </w:rPr>
              <w:t>արբիտրը</w:t>
            </w:r>
            <w:proofErr w:type="spellEnd"/>
            <w:r w:rsidRPr="0030753D">
              <w:rPr>
                <w:rFonts w:ascii="GHEA Grapalat" w:hAnsi="GHEA Grapalat" w:cs="Sylfaen"/>
                <w:sz w:val="24"/>
                <w:szCs w:val="24"/>
                <w:lang w:val="hy-AM"/>
              </w:rPr>
              <w:t xml:space="preserve"> կամ </w:t>
            </w:r>
            <w:proofErr w:type="spellStart"/>
            <w:r w:rsidRPr="0030753D">
              <w:rPr>
                <w:rFonts w:ascii="GHEA Grapalat" w:hAnsi="GHEA Grapalat" w:cs="Sylfaen"/>
                <w:sz w:val="24"/>
                <w:szCs w:val="24"/>
                <w:lang w:val="hy-AM"/>
              </w:rPr>
              <w:t>հաշտարարը</w:t>
            </w:r>
            <w:proofErr w:type="spellEnd"/>
            <w:r w:rsidRPr="0030753D">
              <w:rPr>
                <w:rFonts w:ascii="GHEA Grapalat" w:hAnsi="GHEA Grapalat" w:cs="Sylfaen"/>
                <w:sz w:val="24"/>
                <w:szCs w:val="24"/>
                <w:lang w:val="hy-AM"/>
              </w:rPr>
              <w:t xml:space="preserve">, մարդու իրավունքների պաշտպանը: </w:t>
            </w:r>
          </w:p>
          <w:p w14:paraId="6513C89F"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Նախագծով, ըստ էության, առաջարկվում է այս խումբ անձանց շրջանակում ընդգրկել նաև Հանձնաժողովի անդամին՝ պաշտոնավարման ընթացքում իր կատարած կամ իր ընդհանուր ղեկավարման ներքո կատարված ուսումնասիրությունների, հետազոտությունների, լսած վկայությունների, վկայություն տվող անձանց իր կամ Հանձնաժողովի կողմից ձեռքբերված փաստաթղթերի, տվյալների, տեղեկությունների էության, իր կամ իր մասնակցությամբ կայացրած որոշումների կապակցությամբ: </w:t>
            </w:r>
          </w:p>
          <w:p w14:paraId="430474D9"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Հաշվի առնելով այն հանգամանքը, որ Հանձնաժողովը հանդիսանում է տնտեսական մրցակցության բնագավառի իրավախախտումների </w:t>
            </w:r>
            <w:proofErr w:type="spellStart"/>
            <w:r w:rsidRPr="0030753D">
              <w:rPr>
                <w:rFonts w:ascii="GHEA Grapalat" w:hAnsi="GHEA Grapalat" w:cs="Sylfaen"/>
                <w:sz w:val="24"/>
                <w:szCs w:val="24"/>
                <w:lang w:val="hy-AM"/>
              </w:rPr>
              <w:t>վարույթներով</w:t>
            </w:r>
            <w:proofErr w:type="spellEnd"/>
            <w:r w:rsidRPr="0030753D">
              <w:rPr>
                <w:rFonts w:ascii="GHEA Grapalat" w:hAnsi="GHEA Grapalat" w:cs="Sylfaen"/>
                <w:sz w:val="24"/>
                <w:szCs w:val="24"/>
                <w:lang w:val="hy-AM"/>
              </w:rPr>
              <w:t xml:space="preserve"> վարչարարություն իրականացնող մարմին, ուստի ՀՀ քրեական օրենսգրքի 195-րդ հոդվածով նախատեսված </w:t>
            </w:r>
            <w:r w:rsidRPr="0030753D">
              <w:rPr>
                <w:rFonts w:ascii="GHEA Grapalat" w:hAnsi="GHEA Grapalat" w:cs="Sylfaen"/>
                <w:sz w:val="24"/>
                <w:szCs w:val="24"/>
                <w:lang w:val="hy-AM"/>
              </w:rPr>
              <w:lastRenderedPageBreak/>
              <w:t xml:space="preserve">հանցագործությունների քննության ընթացքում Հանձնաժողովի անդամի՝ որպես վկայի ցուցմունքը կարող է ունենալ </w:t>
            </w:r>
            <w:proofErr w:type="spellStart"/>
            <w:r w:rsidRPr="0030753D">
              <w:rPr>
                <w:rFonts w:ascii="GHEA Grapalat" w:hAnsi="GHEA Grapalat" w:cs="Sylfaen"/>
                <w:sz w:val="24"/>
                <w:szCs w:val="24"/>
                <w:lang w:val="hy-AM"/>
              </w:rPr>
              <w:t>կարևոր</w:t>
            </w:r>
            <w:proofErr w:type="spellEnd"/>
            <w:r w:rsidRPr="0030753D">
              <w:rPr>
                <w:rFonts w:ascii="GHEA Grapalat" w:hAnsi="GHEA Grapalat" w:cs="Sylfaen"/>
                <w:sz w:val="24"/>
                <w:szCs w:val="24"/>
                <w:lang w:val="hy-AM"/>
              </w:rPr>
              <w:t xml:space="preserve"> ապացուցողական նշանակություն՝ գտնում ենք, որ նախատեսվող կարգավորման նպատակն ունի լրացուցիչ հիմնավորման  կարիք: Բացի այդ, նույն տրամաբանությամբ առաջնորդվելու դեպքում ողջամտորեն կարող է բարձրացվել այլ վարչական մարմինների պաշտոնատար անձանց ևս ցուցմունք տալու պարտականությունից ազատելու հարցը, ինչը կարծում ենք՝ արդարացված չէ: Ավելորդ չենք համարում նաև նշել, որ օրինակ՝ Հանձնաժողովի հետ համադրելի կարգավիճակ ունեցող Հանրային ծառայությունները կարգավորող հանձնաժողովի անդամների համար նման երաշխիք նախատեսված չէ, իսկ Կոռուպցիայի կանխարգելման հանձնաժողովի անդամների համար որպես երաշխիք նախատեսվում է, որ Հանձնաժողովի անդամը պարտավոր չէ բացատրություններ տալ Հանձնաժողովի վարույթում գտնվող կամ Հանձնաժողովի կողմից քննարկվող հարցերի կամ փաստաթղթերի էության վերաբերյալ կամ դրանք տրամադրել ծանոթացման այլ կերպ, քան օրենքով նախատեսված դեպքերում և կարգով:</w:t>
            </w:r>
          </w:p>
          <w:p w14:paraId="1D0370B1"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 Ամփոփելով վերոշարադրյալը՝ գտնում ենք որ առաջարկվող կարգավորումը՝ բարձրացված հարցերի համատեքստում ունի հիմնավորման կարիք: Միևնույն </w:t>
            </w:r>
            <w:r w:rsidRPr="0030753D">
              <w:rPr>
                <w:rFonts w:ascii="GHEA Grapalat" w:hAnsi="GHEA Grapalat" w:cs="Sylfaen"/>
                <w:sz w:val="24"/>
                <w:szCs w:val="24"/>
                <w:lang w:val="hy-AM"/>
              </w:rPr>
              <w:lastRenderedPageBreak/>
              <w:t>ժամանակ, հարկ է նշել, որ նշված կարգավորմամբ պայմանավորված՝ առաջանում է դատավարական օրենսգրքերի համապատասխան հոդվածներում լրացում կատարելու անհրաժեշտություն:</w:t>
            </w:r>
          </w:p>
        </w:tc>
        <w:tc>
          <w:tcPr>
            <w:tcW w:w="2268" w:type="dxa"/>
          </w:tcPr>
          <w:p w14:paraId="2806F132"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Ընդունվել է</w:t>
            </w:r>
          </w:p>
          <w:p w14:paraId="2D5FDC2A" w14:textId="77777777" w:rsidR="0030753D" w:rsidRPr="0030753D" w:rsidRDefault="0030753D" w:rsidP="00BB4FBE">
            <w:pPr>
              <w:spacing w:after="0"/>
              <w:jc w:val="center"/>
              <w:rPr>
                <w:rFonts w:ascii="GHEA Grapalat" w:hAnsi="GHEA Grapalat"/>
                <w:bCs/>
                <w:sz w:val="24"/>
                <w:szCs w:val="24"/>
                <w:lang w:val="hy-AM"/>
              </w:rPr>
            </w:pPr>
          </w:p>
          <w:p w14:paraId="518DF84B" w14:textId="77777777" w:rsidR="0030753D" w:rsidRPr="0030753D" w:rsidRDefault="0030753D" w:rsidP="00BB4FBE">
            <w:pPr>
              <w:spacing w:after="0"/>
              <w:jc w:val="center"/>
              <w:rPr>
                <w:rFonts w:ascii="GHEA Grapalat" w:hAnsi="GHEA Grapalat"/>
                <w:bCs/>
                <w:sz w:val="24"/>
                <w:szCs w:val="24"/>
                <w:lang w:val="hy-AM"/>
              </w:rPr>
            </w:pPr>
          </w:p>
        </w:tc>
        <w:tc>
          <w:tcPr>
            <w:tcW w:w="4678" w:type="dxa"/>
          </w:tcPr>
          <w:p w14:paraId="4E7B488F"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Նախագծի հիմնավորումները լրացվել են, ինչպես նաև լրացումներ են կատարվել դատավարական օրենսգրքերի համապատասխան հոդվածներում։</w:t>
            </w:r>
          </w:p>
          <w:p w14:paraId="6A9B84B1"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 xml:space="preserve">ՀՀ Սահմանադրության 122-րդ հոդվածի առաջին մասը սահմանում է, որ մարդու և քաղաքացու հիմնական իրավունքների և ազատությունների իրականացումն ապահովելու, ինչպես նաև Սահմանադրությամբ սահմանված հիմնարար նշանակություն ունեցող հանրային շահերի պաշտպանության նպատակով պատգամավորների ընդհանուր թվի ձայների մեծամասնությամբ ընդունված օրենքով կարող են ստեղծվել </w:t>
            </w:r>
            <w:r w:rsidRPr="0030753D">
              <w:rPr>
                <w:rFonts w:ascii="GHEA Grapalat" w:hAnsi="GHEA Grapalat"/>
                <w:b/>
                <w:sz w:val="24"/>
                <w:szCs w:val="24"/>
                <w:lang w:val="hy-AM"/>
              </w:rPr>
              <w:t>ինքնավար մարմիններ:</w:t>
            </w:r>
            <w:r w:rsidRPr="0030753D">
              <w:rPr>
                <w:rFonts w:ascii="GHEA Grapalat" w:hAnsi="GHEA Grapalat"/>
                <w:sz w:val="24"/>
                <w:szCs w:val="24"/>
                <w:lang w:val="hy-AM"/>
              </w:rPr>
              <w:t xml:space="preserve"> Նույն հոդվածի 4-րդ մասի համաձայն՝ ինքնավար մարմինների </w:t>
            </w:r>
            <w:r w:rsidRPr="0030753D">
              <w:rPr>
                <w:rFonts w:ascii="GHEA Grapalat" w:hAnsi="GHEA Grapalat"/>
                <w:sz w:val="24"/>
                <w:szCs w:val="24"/>
                <w:lang w:val="hy-AM"/>
              </w:rPr>
              <w:lastRenderedPageBreak/>
              <w:t xml:space="preserve">լիազորությունները, </w:t>
            </w:r>
            <w:r w:rsidRPr="0030753D">
              <w:rPr>
                <w:rFonts w:ascii="GHEA Grapalat" w:hAnsi="GHEA Grapalat"/>
                <w:b/>
                <w:sz w:val="24"/>
                <w:szCs w:val="24"/>
                <w:lang w:val="hy-AM"/>
              </w:rPr>
              <w:t>անկախության երաշխիքները,</w:t>
            </w:r>
            <w:r w:rsidRPr="0030753D">
              <w:rPr>
                <w:rFonts w:ascii="GHEA Grapalat" w:hAnsi="GHEA Grapalat"/>
                <w:sz w:val="24"/>
                <w:szCs w:val="24"/>
                <w:lang w:val="hy-AM"/>
              </w:rPr>
              <w:t xml:space="preserve"> անդամներին ներկայացվող պահանջները և գործունեության կարգը սահմանվում են օրենքով:</w:t>
            </w:r>
          </w:p>
          <w:p w14:paraId="6B3E65F8" w14:textId="77777777" w:rsidR="0030753D" w:rsidRPr="0030753D" w:rsidRDefault="0030753D" w:rsidP="00BB4FBE">
            <w:pPr>
              <w:shd w:val="clear" w:color="auto" w:fill="FFFFFF"/>
              <w:tabs>
                <w:tab w:val="left" w:pos="851"/>
              </w:tabs>
              <w:spacing w:after="0"/>
              <w:jc w:val="center"/>
              <w:rPr>
                <w:rFonts w:ascii="GHEA Grapalat" w:hAnsi="GHEA Grapalat"/>
                <w:color w:val="000000"/>
                <w:sz w:val="24"/>
                <w:szCs w:val="24"/>
                <w:shd w:val="clear" w:color="auto" w:fill="FFFFFF"/>
                <w:lang w:val="hy-AM"/>
              </w:rPr>
            </w:pPr>
            <w:r w:rsidRPr="0030753D">
              <w:rPr>
                <w:rFonts w:ascii="GHEA Grapalat" w:hAnsi="GHEA Grapalat"/>
                <w:sz w:val="24"/>
                <w:szCs w:val="24"/>
                <w:lang w:val="hy-AM"/>
              </w:rPr>
              <w:t xml:space="preserve">Նախագծի 32-րդ հոդվածն ամրագրում է, որ </w:t>
            </w:r>
            <w:r w:rsidRPr="0030753D">
              <w:rPr>
                <w:rFonts w:ascii="GHEA Grapalat" w:eastAsia="Times New Roman" w:hAnsi="GHEA Grapalat" w:cs="Times New Roman"/>
                <w:sz w:val="24"/>
                <w:szCs w:val="24"/>
                <w:lang w:val="hy-AM"/>
              </w:rPr>
              <w:t xml:space="preserve">Հանձնաժողովի անդամն անկախ է և գործում է Սահմանադրությանը և օրենքներին համապատասխան: Հանձնաժողովի անդամների անկախության ամրագրումը, մասնավորապես՝ իր լիազորություններն իրականացնելիս բացառապես Սահմանադրությանը և օրենքին ենթարկվելու հիմնարար պահանջն ինքնանպատակ չէ, այն լիազորությունների իրականացման և որոշումների կայացման ինքնուրույնության դրսևորման </w:t>
            </w:r>
            <w:proofErr w:type="spellStart"/>
            <w:r w:rsidRPr="0030753D">
              <w:rPr>
                <w:rFonts w:ascii="GHEA Grapalat" w:eastAsia="Times New Roman" w:hAnsi="GHEA Grapalat" w:cs="Times New Roman"/>
                <w:sz w:val="24"/>
                <w:szCs w:val="24"/>
                <w:lang w:val="hy-AM"/>
              </w:rPr>
              <w:t>կարևոր</w:t>
            </w:r>
            <w:proofErr w:type="spellEnd"/>
            <w:r w:rsidRPr="0030753D">
              <w:rPr>
                <w:rFonts w:ascii="GHEA Grapalat" w:eastAsia="Times New Roman" w:hAnsi="GHEA Grapalat" w:cs="Times New Roman"/>
                <w:sz w:val="24"/>
                <w:szCs w:val="24"/>
                <w:lang w:val="hy-AM"/>
              </w:rPr>
              <w:t xml:space="preserve"> </w:t>
            </w:r>
            <w:proofErr w:type="spellStart"/>
            <w:r w:rsidRPr="0030753D">
              <w:rPr>
                <w:rFonts w:ascii="GHEA Grapalat" w:eastAsia="Times New Roman" w:hAnsi="GHEA Grapalat" w:cs="Times New Roman"/>
                <w:sz w:val="24"/>
                <w:szCs w:val="24"/>
                <w:lang w:val="hy-AM"/>
              </w:rPr>
              <w:t>նախապայմ</w:t>
            </w:r>
            <w:proofErr w:type="spellEnd"/>
            <w:r w:rsidRPr="0030753D">
              <w:rPr>
                <w:rFonts w:ascii="GHEA Grapalat" w:eastAsia="Times New Roman" w:hAnsi="GHEA Grapalat" w:cs="Times New Roman"/>
                <w:sz w:val="24"/>
                <w:szCs w:val="24"/>
                <w:lang w:val="hy-AM"/>
              </w:rPr>
              <w:t xml:space="preserve"> ան է։ Անդամների անկախությունը </w:t>
            </w:r>
            <w:proofErr w:type="spellStart"/>
            <w:r w:rsidRPr="0030753D">
              <w:rPr>
                <w:rFonts w:ascii="GHEA Grapalat" w:eastAsia="Times New Roman" w:hAnsi="GHEA Grapalat" w:cs="Times New Roman"/>
                <w:sz w:val="24"/>
                <w:szCs w:val="24"/>
                <w:lang w:val="hy-AM"/>
              </w:rPr>
              <w:t>դրսևորվում</w:t>
            </w:r>
            <w:proofErr w:type="spellEnd"/>
            <w:r w:rsidRPr="0030753D">
              <w:rPr>
                <w:rFonts w:ascii="GHEA Grapalat" w:eastAsia="Times New Roman" w:hAnsi="GHEA Grapalat" w:cs="Times New Roman"/>
                <w:sz w:val="24"/>
                <w:szCs w:val="24"/>
                <w:lang w:val="hy-AM"/>
              </w:rPr>
              <w:t xml:space="preserve"> է ինստիտուցիոնալ երաշխիքների սահմանմամբ, այդ թվում` այնպիսի երաշխիք, համաձայն որի </w:t>
            </w:r>
            <w:r w:rsidRPr="0030753D">
              <w:rPr>
                <w:rFonts w:ascii="GHEA Grapalat" w:hAnsi="GHEA Grapalat"/>
                <w:color w:val="000000"/>
                <w:sz w:val="24"/>
                <w:szCs w:val="24"/>
                <w:shd w:val="clear" w:color="auto" w:fill="FFFFFF"/>
                <w:lang w:val="hy-AM"/>
              </w:rPr>
              <w:t xml:space="preserve">Հանձնաժողովի անդամը պարտավոր չէ բացատրություն տալ Հանձնաժողովի </w:t>
            </w:r>
            <w:r w:rsidRPr="0030753D">
              <w:rPr>
                <w:rFonts w:ascii="GHEA Grapalat" w:hAnsi="GHEA Grapalat"/>
                <w:color w:val="000000"/>
                <w:sz w:val="24"/>
                <w:szCs w:val="24"/>
                <w:shd w:val="clear" w:color="auto" w:fill="FFFFFF"/>
                <w:lang w:val="hy-AM"/>
              </w:rPr>
              <w:lastRenderedPageBreak/>
              <w:t>վարույթում գտնվող կամ Հանձնաժողովի կողմից քննարկվող հարցերի կամ փաստաթղթերի էության վերաբերյալ  կամ դրանք տրամադրել ծանոթացման այլ կերպ, քան օրենքով նախատեսված դեպքերում և կարգով:</w:t>
            </w:r>
          </w:p>
          <w:p w14:paraId="53DADBF8" w14:textId="77777777" w:rsidR="0030753D" w:rsidRPr="0030753D" w:rsidRDefault="0030753D" w:rsidP="00BB4FBE">
            <w:pPr>
              <w:shd w:val="clear" w:color="auto" w:fill="FFFFFF"/>
              <w:tabs>
                <w:tab w:val="left" w:pos="851"/>
              </w:tabs>
              <w:spacing w:after="0"/>
              <w:jc w:val="center"/>
              <w:rPr>
                <w:rFonts w:ascii="GHEA Grapalat" w:hAnsi="GHEA Grapalat"/>
                <w:color w:val="000000"/>
                <w:sz w:val="24"/>
                <w:szCs w:val="24"/>
                <w:lang w:val="hy-AM"/>
              </w:rPr>
            </w:pPr>
            <w:r w:rsidRPr="0030753D">
              <w:rPr>
                <w:rFonts w:ascii="GHEA Grapalat" w:hAnsi="GHEA Grapalat"/>
                <w:color w:val="000000"/>
                <w:sz w:val="24"/>
                <w:szCs w:val="24"/>
                <w:shd w:val="clear" w:color="auto" w:fill="FFFFFF"/>
                <w:lang w:val="hy-AM"/>
              </w:rPr>
              <w:t>Այս առումով հարկ է նկատի ունենալ,</w:t>
            </w:r>
            <w:r w:rsidRPr="0030753D">
              <w:rPr>
                <w:rFonts w:ascii="GHEA Grapalat" w:hAnsi="GHEA Grapalat"/>
                <w:color w:val="000000"/>
                <w:sz w:val="24"/>
                <w:szCs w:val="24"/>
                <w:lang w:val="hy-AM"/>
              </w:rPr>
              <w:t xml:space="preserve"> որ Հանձնաժողովը, թեև տնտեսական մրցակցության բնագավառի իրավախախտումների </w:t>
            </w:r>
            <w:proofErr w:type="spellStart"/>
            <w:r w:rsidRPr="0030753D">
              <w:rPr>
                <w:rFonts w:ascii="GHEA Grapalat" w:hAnsi="GHEA Grapalat"/>
                <w:color w:val="000000"/>
                <w:sz w:val="24"/>
                <w:szCs w:val="24"/>
                <w:lang w:val="hy-AM"/>
              </w:rPr>
              <w:t>վարույթներով</w:t>
            </w:r>
            <w:proofErr w:type="spellEnd"/>
            <w:r w:rsidRPr="0030753D">
              <w:rPr>
                <w:rFonts w:ascii="GHEA Grapalat" w:hAnsi="GHEA Grapalat"/>
                <w:color w:val="000000"/>
                <w:sz w:val="24"/>
                <w:szCs w:val="24"/>
                <w:lang w:val="hy-AM"/>
              </w:rPr>
              <w:t xml:space="preserve"> վարչարարություն իրականացնող մարմին է, այնուամենայնիվ, այն չպետք է դիտարկել դասական իմաստով վարչական մարմին, քանի որ ինչպես նշվել է ունի որոշումների կայացման, ոլորտում գործունեության ռազմավարության մշակման և որոշումների կայացման անկախություն։</w:t>
            </w:r>
          </w:p>
          <w:p w14:paraId="0E35A31F" w14:textId="77777777" w:rsidR="0030753D" w:rsidRPr="0030753D" w:rsidRDefault="0030753D" w:rsidP="00BB4FBE">
            <w:pPr>
              <w:shd w:val="clear" w:color="auto" w:fill="FFFFFF"/>
              <w:tabs>
                <w:tab w:val="left" w:pos="851"/>
              </w:tabs>
              <w:spacing w:after="0"/>
              <w:jc w:val="center"/>
              <w:rPr>
                <w:rFonts w:ascii="GHEA Grapalat" w:hAnsi="GHEA Grapalat"/>
                <w:color w:val="000000"/>
                <w:sz w:val="24"/>
                <w:szCs w:val="24"/>
                <w:shd w:val="clear" w:color="auto" w:fill="FFFFFF"/>
                <w:lang w:val="hy-AM"/>
              </w:rPr>
            </w:pPr>
          </w:p>
          <w:p w14:paraId="3ABF9090" w14:textId="77777777" w:rsidR="0030753D" w:rsidRPr="0030753D" w:rsidRDefault="0030753D" w:rsidP="00BB4FBE">
            <w:pPr>
              <w:shd w:val="clear" w:color="auto" w:fill="FFFFFF"/>
              <w:tabs>
                <w:tab w:val="left" w:pos="851"/>
              </w:tabs>
              <w:spacing w:after="0"/>
              <w:jc w:val="center"/>
              <w:rPr>
                <w:rFonts w:ascii="GHEA Grapalat" w:eastAsia="Times New Roman" w:hAnsi="GHEA Grapalat" w:cs="Times New Roman"/>
                <w:sz w:val="24"/>
                <w:szCs w:val="24"/>
                <w:lang w:val="hy-AM"/>
              </w:rPr>
            </w:pPr>
          </w:p>
          <w:p w14:paraId="6219B5E8" w14:textId="77777777" w:rsidR="0030753D" w:rsidRPr="0030753D" w:rsidRDefault="0030753D" w:rsidP="00BB4FBE">
            <w:pPr>
              <w:spacing w:after="0"/>
              <w:jc w:val="center"/>
              <w:rPr>
                <w:rFonts w:ascii="GHEA Grapalat" w:hAnsi="GHEA Grapalat"/>
                <w:sz w:val="24"/>
                <w:szCs w:val="24"/>
                <w:lang w:val="hy-AM"/>
              </w:rPr>
            </w:pPr>
          </w:p>
        </w:tc>
      </w:tr>
      <w:tr w:rsidR="0030753D" w:rsidRPr="0030753D" w14:paraId="6B364E46" w14:textId="77777777" w:rsidTr="00BB4FBE">
        <w:tc>
          <w:tcPr>
            <w:tcW w:w="749" w:type="dxa"/>
          </w:tcPr>
          <w:p w14:paraId="1D452486"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0096F410"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32-րդ հոդվածի 6-րդ մասի համաձայն՝ Հանձնաժողովի անդամի՝ իր լիազորությունների իրականացման հետ կապված նամակագրության, հեռախոսային խոսակցությունները, փոստային, հեռագրական հաղորդումները և հաղորդակցության այլ </w:t>
            </w:r>
            <w:proofErr w:type="spellStart"/>
            <w:r w:rsidRPr="0030753D">
              <w:rPr>
                <w:rFonts w:ascii="GHEA Grapalat" w:hAnsi="GHEA Grapalat" w:cs="Sylfaen"/>
                <w:sz w:val="24"/>
                <w:szCs w:val="24"/>
                <w:lang w:val="hy-AM"/>
              </w:rPr>
              <w:t>ձևերը</w:t>
            </w:r>
            <w:proofErr w:type="spellEnd"/>
            <w:r w:rsidRPr="0030753D">
              <w:rPr>
                <w:rFonts w:ascii="GHEA Grapalat" w:hAnsi="GHEA Grapalat" w:cs="Sylfaen"/>
                <w:sz w:val="24"/>
                <w:szCs w:val="24"/>
                <w:lang w:val="hy-AM"/>
              </w:rPr>
              <w:t xml:space="preserve"> ենթակա են վերահսկման միայն դատարանի որոշմամբ՝ Գլխավոր դատախազի միջնորդությամբ, եթե դա կապված է ծանր կամ առանձնապես ծանր հանցագործության կատարումը կանխելու կամ բացահայտելու հետ: </w:t>
            </w:r>
          </w:p>
          <w:p w14:paraId="3A1DB2F3"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 Այս կապակցությամբ հարկ է նկատի ունենալ, որ Սահմանադրության 33-րդ հոդվածում մատնանշված նպատակների շրջանակը, որոնց ապահովմանն ուղղված է անձի հաղորդակցության ազատության և գաղտնիության իրավունքի սահմանափակումը, շատ ավելի լայն է, մասնավորապես՝ այս իրավունքը կարող է սահմանափակվել միայն օրենքով՝ պետական անվտանգության, երկրի տնտեսական բարեկեցության,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w:t>
            </w:r>
            <w:r w:rsidRPr="0030753D">
              <w:rPr>
                <w:rFonts w:ascii="GHEA Grapalat" w:hAnsi="GHEA Grapalat" w:cs="Sylfaen"/>
                <w:sz w:val="24"/>
                <w:szCs w:val="24"/>
                <w:lang w:val="hy-AM"/>
              </w:rPr>
              <w:lastRenderedPageBreak/>
              <w:t xml:space="preserve">պաշտպանության նպատակով: Թեև նման երաշխիք նախատեսված է նաև Մարդու իրավունքների պաշտպանի համար, սակայն կարծում ենք՝ Հանձնաժողովի անդամի դեպքում ևս այս իրավունքը միայն ծանր կամ առանձնապես ծանր հանցագործությունների կանխման կամ բացահայտման նպատակով սահմանափակելու հնարավորությունն ունի հիմնավորման կարիք՝ նկատի ունենալով նշված մարմինների </w:t>
            </w:r>
            <w:proofErr w:type="spellStart"/>
            <w:r w:rsidRPr="0030753D">
              <w:rPr>
                <w:rFonts w:ascii="GHEA Grapalat" w:hAnsi="GHEA Grapalat" w:cs="Sylfaen"/>
                <w:sz w:val="24"/>
                <w:szCs w:val="24"/>
                <w:lang w:val="hy-AM"/>
              </w:rPr>
              <w:t>կարգավիճակային</w:t>
            </w:r>
            <w:proofErr w:type="spellEnd"/>
            <w:r w:rsidRPr="0030753D">
              <w:rPr>
                <w:rFonts w:ascii="GHEA Grapalat" w:hAnsi="GHEA Grapalat" w:cs="Sylfaen"/>
                <w:sz w:val="24"/>
                <w:szCs w:val="24"/>
                <w:lang w:val="hy-AM"/>
              </w:rPr>
              <w:t xml:space="preserve"> և գործառութային տարբերությունը:</w:t>
            </w:r>
          </w:p>
        </w:tc>
        <w:tc>
          <w:tcPr>
            <w:tcW w:w="2268" w:type="dxa"/>
          </w:tcPr>
          <w:p w14:paraId="2066E368"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 xml:space="preserve">Ընդունվել է </w:t>
            </w:r>
          </w:p>
        </w:tc>
        <w:tc>
          <w:tcPr>
            <w:tcW w:w="4678" w:type="dxa"/>
          </w:tcPr>
          <w:p w14:paraId="262EC488"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Նախագծում կատարվել են համապատասխան փոփոխություններ։</w:t>
            </w:r>
          </w:p>
        </w:tc>
      </w:tr>
      <w:tr w:rsidR="0030753D" w:rsidRPr="0030753D" w14:paraId="59F3AD0F" w14:textId="77777777" w:rsidTr="00BB4FBE">
        <w:tc>
          <w:tcPr>
            <w:tcW w:w="749" w:type="dxa"/>
          </w:tcPr>
          <w:p w14:paraId="1D65CE77"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65AE6898"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Նախագծի 38-րդ հոդվածի 1-ին մասի 7-րդ կետով սահմանվում է պետական մարմինների և դրանց պաշտոնատար անձանց՝ տնտեսական մրցակցության պաշտպանության օրենսդրությունը խախտող ակտերը, գործողությունները և անգործությունը ոչ իրավաչափ, ուժը կորցրած կամ անվավեր ճանաչելու, դադարեցնելու կամ դրանցից ձեռնպահ մնալու պահանջով դատարան դիմելու՝ Հանձնաժողովի լիազորությունը, եթե այդ վեճը հնարավոր չէ լուծել վարչական կարգով:</w:t>
            </w:r>
          </w:p>
          <w:p w14:paraId="6EEF865A"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Հանձնաժողովի նշված </w:t>
            </w:r>
            <w:proofErr w:type="spellStart"/>
            <w:r w:rsidRPr="0030753D">
              <w:rPr>
                <w:rFonts w:ascii="GHEA Grapalat" w:hAnsi="GHEA Grapalat" w:cs="Sylfaen"/>
                <w:sz w:val="24"/>
                <w:szCs w:val="24"/>
                <w:lang w:val="hy-AM"/>
              </w:rPr>
              <w:t>լիազորությունն</w:t>
            </w:r>
            <w:proofErr w:type="spellEnd"/>
            <w:r w:rsidRPr="0030753D">
              <w:rPr>
                <w:rFonts w:ascii="GHEA Grapalat" w:hAnsi="GHEA Grapalat" w:cs="Sylfaen"/>
                <w:sz w:val="24"/>
                <w:szCs w:val="24"/>
                <w:lang w:val="hy-AM"/>
              </w:rPr>
              <w:t xml:space="preserve"> անհրաժեշտ է դիտարկել վարչական դատարանի՝ ՀՀ վարչական դատավարության օրենսգրքով նախատեսված լիազորությունների համատեքստում: Այսպես, նշված օրենսգրքի 125-րդ հոդվածի համաձայն՝ վարչական </w:t>
            </w:r>
            <w:r w:rsidRPr="0030753D">
              <w:rPr>
                <w:rFonts w:ascii="GHEA Grapalat" w:hAnsi="GHEA Grapalat" w:cs="Sylfaen"/>
                <w:sz w:val="24"/>
                <w:szCs w:val="24"/>
                <w:lang w:val="hy-AM"/>
              </w:rPr>
              <w:lastRenderedPageBreak/>
              <w:t>դատարանը հայցը բավարարելու դեպքում կայացնում է գործն ըստ էության լուծող դատական ակտ՝</w:t>
            </w:r>
          </w:p>
          <w:p w14:paraId="7602238D"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1) վարչական ակտն ամբողջությամբ կամ մասնակիորեն անվավեր ճանաչելու մասին.</w:t>
            </w:r>
          </w:p>
          <w:p w14:paraId="4B1AD7FA"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2) վարչական մարմնի կողմից հայցվող վարչական ակտն ընդունելը մերժելու վերաբերյալ որոշումն անվավեր ճանաչելու և վարչական մարմնին այդ վարչական ակտի ընդունմանը պարտավորեցնելու մասին.</w:t>
            </w:r>
          </w:p>
          <w:p w14:paraId="5FDC601E"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3) դատավարության մասնակիցներին և այլ անձանց որոշակի գործողություններ կատարելուն կամ դրանց կատարումից ձեռնպահ մնալուն պարտավորեցնելու մասին.</w:t>
            </w:r>
          </w:p>
          <w:p w14:paraId="246057FC"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4) իրավահարաբերությունների առկայության կամ բացակայության կամ վարչական ակտի՝ ամբողջությամբ կամ մասնակիորեն առ ոչինչ լինելու մասին.</w:t>
            </w:r>
          </w:p>
          <w:p w14:paraId="1F1C2668"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5) այլևս իրավաբանական ուժ չունեցող միջամտող վարչական ակտը կամ իրեն սպառած գործողությունը կամ անգործությունը ոչ իրավաչափ ճանաչելու մասին.</w:t>
            </w:r>
          </w:p>
          <w:p w14:paraId="15FA1EAE"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6) ֆիզիկական կամ իրավաբանական անձին որոշակի իրավունքներից զրկելու կամ նրա վրա որոշակի պարտականություններ դնելու մասին.</w:t>
            </w:r>
          </w:p>
          <w:p w14:paraId="3777A3D9"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7) այն մասին, թե որ վարչական մարմնի իրավասությանն է վերապահված տվյալ հարցը:</w:t>
            </w:r>
          </w:p>
          <w:p w14:paraId="03D57CE0"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lastRenderedPageBreak/>
              <w:t>Նույն օրենսգրքի 199-րդ հոդվածի համաձայն՝ նորմատիվ իրավական ակտերի իրավաչափությունը վիճարկելու վերաբերյալ գործերի վարույթի շրջանակներում վարչական դատարանը կարող է կայացնել հետևյալ դատական ակտերից մեկը.</w:t>
            </w:r>
          </w:p>
          <w:p w14:paraId="302443F7"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1) վիճարկվող նորմատիվ իրավական ակտը կամ դրա վիճարկվող դրույթն ավելի բարձր իրավաբանական ուժ ունեցող նորմատիվ իրավական </w:t>
            </w:r>
            <w:proofErr w:type="spellStart"/>
            <w:r w:rsidRPr="0030753D">
              <w:rPr>
                <w:rFonts w:ascii="GHEA Grapalat" w:hAnsi="GHEA Grapalat" w:cs="Sylfaen"/>
                <w:sz w:val="24"/>
                <w:szCs w:val="24"/>
                <w:lang w:val="hy-AM"/>
              </w:rPr>
              <w:t>ակտին</w:t>
            </w:r>
            <w:proofErr w:type="spellEnd"/>
            <w:r w:rsidRPr="0030753D">
              <w:rPr>
                <w:rFonts w:ascii="GHEA Grapalat" w:hAnsi="GHEA Grapalat" w:cs="Sylfaen"/>
                <w:sz w:val="24"/>
                <w:szCs w:val="24"/>
                <w:lang w:val="hy-AM"/>
              </w:rPr>
              <w:t xml:space="preserve"> համապատասխանող ճանաչելու մասին.</w:t>
            </w:r>
          </w:p>
          <w:p w14:paraId="7A50231C"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2) վիճարկվող նորմատիվ իրավական ակտը կամ դրա վիճարկվող դրույթն անվավեր ճանաչելու մասին.</w:t>
            </w:r>
          </w:p>
          <w:p w14:paraId="6F5FD4D7"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3) վիճարկվող` ուժը կորցրած նորմատիվ իրավական ակտը կամ դրա վիճարկվող դրույթը ոչ իրավաչափ ճանաչելու մասին:</w:t>
            </w:r>
          </w:p>
          <w:p w14:paraId="4A753D0F"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Հետևաբար, վարչական դատարանը պետական և տեղական ինքնակառավարման մարմինների ու դրանց պաշտոնատար անձանց թե՛ վարչական, թե՛ նորմատիվ իրավական ակտերն ուժը կորցրած ճանաչելու </w:t>
            </w:r>
            <w:proofErr w:type="spellStart"/>
            <w:r w:rsidRPr="0030753D">
              <w:rPr>
                <w:rFonts w:ascii="GHEA Grapalat" w:hAnsi="GHEA Grapalat" w:cs="Sylfaen"/>
                <w:sz w:val="24"/>
                <w:szCs w:val="24"/>
                <w:lang w:val="hy-AM"/>
              </w:rPr>
              <w:t>լիազորությամբ</w:t>
            </w:r>
            <w:proofErr w:type="spellEnd"/>
            <w:r w:rsidRPr="0030753D">
              <w:rPr>
                <w:rFonts w:ascii="GHEA Grapalat" w:hAnsi="GHEA Grapalat" w:cs="Sylfaen"/>
                <w:sz w:val="24"/>
                <w:szCs w:val="24"/>
                <w:lang w:val="hy-AM"/>
              </w:rPr>
              <w:t xml:space="preserve"> օժտված չէ:</w:t>
            </w:r>
          </w:p>
        </w:tc>
        <w:tc>
          <w:tcPr>
            <w:tcW w:w="2268" w:type="dxa"/>
          </w:tcPr>
          <w:p w14:paraId="0EB43328"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Ընդունվել է</w:t>
            </w:r>
          </w:p>
        </w:tc>
        <w:tc>
          <w:tcPr>
            <w:tcW w:w="4678" w:type="dxa"/>
          </w:tcPr>
          <w:p w14:paraId="321B3CAE"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Նախագծում կատարվել են համապատասխան փոփոխություններ։</w:t>
            </w:r>
          </w:p>
        </w:tc>
      </w:tr>
      <w:tr w:rsidR="0030753D" w:rsidRPr="0030753D" w14:paraId="1B50C0DB" w14:textId="77777777" w:rsidTr="00BB4FBE">
        <w:tc>
          <w:tcPr>
            <w:tcW w:w="749" w:type="dxa"/>
          </w:tcPr>
          <w:p w14:paraId="74430E15"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4B804293"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38-րդ հոդվածի 1-ին մասի 2-րդ կետի «դ» ենթակետի համաձայն՝ Հանձնաժողովը օրենքով նախատեսված դեպքերում տնտեսվարող սուբյեկտներին, պետական մարմիններին կամ դրանց պաշտոնատար անձանց գործողության, գործարքի կամ իրավական ակտի նախագծի վերաբերյալ տալիս է եզրակացություն: Նախագծի 62-րդ հոդվածի 2-րդ </w:t>
            </w:r>
            <w:r w:rsidRPr="0030753D">
              <w:rPr>
                <w:rFonts w:ascii="GHEA Grapalat" w:hAnsi="GHEA Grapalat" w:cs="Sylfaen"/>
                <w:sz w:val="24"/>
                <w:szCs w:val="24"/>
                <w:lang w:val="hy-AM"/>
              </w:rPr>
              <w:lastRenderedPageBreak/>
              <w:t xml:space="preserve">համաձայն՝ նորմատիվ իրավական ակտի նախագծի՝ տնտեսական </w:t>
            </w:r>
            <w:proofErr w:type="spellStart"/>
            <w:r w:rsidRPr="0030753D">
              <w:rPr>
                <w:rFonts w:ascii="GHEA Grapalat" w:hAnsi="GHEA Grapalat" w:cs="Sylfaen"/>
                <w:sz w:val="24"/>
                <w:szCs w:val="24"/>
                <w:lang w:val="hy-AM"/>
              </w:rPr>
              <w:t>մրցակցությանն</w:t>
            </w:r>
            <w:proofErr w:type="spellEnd"/>
            <w:r w:rsidRPr="0030753D">
              <w:rPr>
                <w:rFonts w:ascii="GHEA Grapalat" w:hAnsi="GHEA Grapalat" w:cs="Sylfaen"/>
                <w:sz w:val="24"/>
                <w:szCs w:val="24"/>
                <w:lang w:val="hy-AM"/>
              </w:rPr>
              <w:t xml:space="preserve"> առնչվող հարցերի վերաբերյալ </w:t>
            </w:r>
            <w:proofErr w:type="spellStart"/>
            <w:r w:rsidRPr="0030753D">
              <w:rPr>
                <w:rFonts w:ascii="GHEA Grapalat" w:hAnsi="GHEA Grapalat" w:cs="Sylfaen"/>
                <w:sz w:val="24"/>
                <w:szCs w:val="24"/>
                <w:lang w:val="hy-AM"/>
              </w:rPr>
              <w:t>Հանձանժողովի</w:t>
            </w:r>
            <w:proofErr w:type="spellEnd"/>
            <w:r w:rsidRPr="0030753D">
              <w:rPr>
                <w:rFonts w:ascii="GHEA Grapalat" w:hAnsi="GHEA Grapalat" w:cs="Sylfaen"/>
                <w:sz w:val="24"/>
                <w:szCs w:val="24"/>
                <w:lang w:val="hy-AM"/>
              </w:rPr>
              <w:t xml:space="preserve"> եզրակացությունը կրում է խորհրդատվական բնույթ: </w:t>
            </w:r>
          </w:p>
          <w:p w14:paraId="1286E07D"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ab/>
              <w:t xml:space="preserve">Հարկ է նշել, որ «Նորմատիվ իրավական ակտերի մասին» օրենքի 6-րդ հոդվածի 2-րդ մասի համաձայն՝ նորմատիվ իրավական ակտի նախագծի փորձաքննությունը և դրա հիման վրա եզրակացության տրամադրումը ՀՀ արդարադատության նախարարության բացառիկ </w:t>
            </w:r>
            <w:proofErr w:type="spellStart"/>
            <w:r w:rsidRPr="0030753D">
              <w:rPr>
                <w:rFonts w:ascii="GHEA Grapalat" w:hAnsi="GHEA Grapalat" w:cs="Sylfaen"/>
                <w:sz w:val="24"/>
                <w:szCs w:val="24"/>
                <w:lang w:val="hy-AM"/>
              </w:rPr>
              <w:t>լիազորությունն</w:t>
            </w:r>
            <w:proofErr w:type="spellEnd"/>
            <w:r w:rsidRPr="0030753D">
              <w:rPr>
                <w:rFonts w:ascii="GHEA Grapalat" w:hAnsi="GHEA Grapalat" w:cs="Sylfaen"/>
                <w:sz w:val="24"/>
                <w:szCs w:val="24"/>
                <w:lang w:val="hy-AM"/>
              </w:rPr>
              <w:t xml:space="preserve"> է: Թեև Նախագծով նախատեսվում է, որ Հանձնաժողովի կողմից տրամադրվող եզրակացությունն ունի խորհրդատվական բնույթ, իսկ Նախագծին կից ներկայացված </w:t>
            </w:r>
            <w:proofErr w:type="spellStart"/>
            <w:r w:rsidRPr="0030753D">
              <w:rPr>
                <w:rFonts w:ascii="GHEA Grapalat" w:hAnsi="GHEA Grapalat" w:cs="Sylfaen"/>
                <w:sz w:val="24"/>
                <w:szCs w:val="24"/>
                <w:lang w:val="hy-AM"/>
              </w:rPr>
              <w:t>ամփոփաթերթում</w:t>
            </w:r>
            <w:proofErr w:type="spellEnd"/>
            <w:r w:rsidRPr="0030753D">
              <w:rPr>
                <w:rFonts w:ascii="GHEA Grapalat" w:hAnsi="GHEA Grapalat" w:cs="Sylfaen"/>
                <w:sz w:val="24"/>
                <w:szCs w:val="24"/>
                <w:lang w:val="hy-AM"/>
              </w:rPr>
              <w:t xml:space="preserve"> նշվում է, որ Հանձնաժողովը նորմատիվ իրավական ակտերի նախագծերի վերաբերյալ եզրակացություն տրամադրում է միայն մրցակցության վրա դրանց ազդեցության առնչությամբ, ընդ որում՝ տրված եզրակացությունները չունեն պարտադիր բնույթ, իսկ Արդարադատության նախարարությունը նորմատիվ իրավական ակտերի վերաբերյալ իրականացնում է միայն  պետական-իրավական փորձաքննություն, որի նպատակը չի համընկնում Հանձնաժողովի կողմից եզրակացությունների տրամադրման նպատակին, այնուամենայնիվ, գտնում ենք, որ նորմատիվ իրավական նախագծի վերաբերյալ եզրակացության </w:t>
            </w:r>
            <w:r w:rsidRPr="0030753D">
              <w:rPr>
                <w:rFonts w:ascii="GHEA Grapalat" w:hAnsi="GHEA Grapalat" w:cs="Sylfaen"/>
                <w:sz w:val="24"/>
                <w:szCs w:val="24"/>
                <w:lang w:val="hy-AM"/>
              </w:rPr>
              <w:lastRenderedPageBreak/>
              <w:t>տրամադրումը դուրս է Հանձնաժողովի լիազորությունների շրջանակից, իսկ մրցակցության վրա նորմատիվ իրավական ակտերի նախագծերի հնարավոր ազդեցության վերաբերյալ իր դիրքորոշումը Հանձնաժողովն  ընդհանուր հիմունքներով կարող է ներկայացնել ՀՀ կառավարության 2018 թվականի հունիսի 8-ի թիվ 667-Լ որոշմամբ հաստատված կարգի 20-րդ կետով սահմանված կարգով կարծիք ներկայացնելու միջոցով:</w:t>
            </w:r>
          </w:p>
        </w:tc>
        <w:tc>
          <w:tcPr>
            <w:tcW w:w="2268" w:type="dxa"/>
          </w:tcPr>
          <w:p w14:paraId="5B5EE224"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Չի ընդունվել</w:t>
            </w:r>
          </w:p>
          <w:p w14:paraId="62166AE6" w14:textId="77777777" w:rsidR="0030753D" w:rsidRPr="0030753D" w:rsidRDefault="0030753D" w:rsidP="00BB4FBE">
            <w:pPr>
              <w:spacing w:after="0"/>
              <w:jc w:val="center"/>
              <w:rPr>
                <w:rFonts w:ascii="GHEA Grapalat" w:hAnsi="GHEA Grapalat"/>
                <w:bCs/>
                <w:sz w:val="24"/>
                <w:szCs w:val="24"/>
                <w:lang w:val="hy-AM"/>
              </w:rPr>
            </w:pPr>
          </w:p>
        </w:tc>
        <w:tc>
          <w:tcPr>
            <w:tcW w:w="4678" w:type="dxa"/>
          </w:tcPr>
          <w:p w14:paraId="110FE202"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 xml:space="preserve">Հանձնաժողովը նորմատիվ իրավական ակտերի վերաբերյալ եզրակացություն տրամադրում է միայն մրցակցության վրա դրանց ազդեցության առնչությամբ, ընդ որում տրված եզրակացությունները չունեն պարտադիր բնույթ: Այս </w:t>
            </w:r>
            <w:proofErr w:type="spellStart"/>
            <w:r w:rsidRPr="0030753D">
              <w:rPr>
                <w:rFonts w:ascii="GHEA Grapalat" w:hAnsi="GHEA Grapalat"/>
                <w:sz w:val="24"/>
                <w:szCs w:val="24"/>
                <w:lang w:val="hy-AM"/>
              </w:rPr>
              <w:t>նրմը</w:t>
            </w:r>
            <w:proofErr w:type="spellEnd"/>
            <w:r w:rsidRPr="0030753D">
              <w:rPr>
                <w:rFonts w:ascii="GHEA Grapalat" w:hAnsi="GHEA Grapalat"/>
                <w:sz w:val="24"/>
                <w:szCs w:val="24"/>
                <w:lang w:val="hy-AM"/>
              </w:rPr>
              <w:t xml:space="preserve"> բխում է Հանձնաժողովի </w:t>
            </w:r>
            <w:r w:rsidRPr="0030753D">
              <w:rPr>
                <w:rFonts w:ascii="GHEA Grapalat" w:hAnsi="GHEA Grapalat"/>
                <w:sz w:val="24"/>
                <w:szCs w:val="24"/>
                <w:lang w:val="hy-AM"/>
              </w:rPr>
              <w:lastRenderedPageBreak/>
              <w:t>գործունեության էությունից և այնպիսի լիազորություններից, ինչպիսիք են՝ Նախագծի 38-րդ հոդվածի 1-ին մասի 12-րդ կետով սահմանված լիազորությունից, համաձայն որի Հանձնաժողովի մասնակցում է տնտեսական մրցակցության զարգացմանը և այդ բնագավառում պետական քաղաքականությունը կարգավորող իրավական ակտերի մշակմանը։ Մինչդեռ, «Նորմատիվ իրավական ակտերի մասին» օրենքի 6-րդ հոդվածի 1-ին և 2-րդ մասերի համաձայն՝ Արդարադատության նախարարությունը նորմատիվ իրավական ակտերի վերաբերյալ իրականացնում է միայն  պետական-իրավական փորձաքննություն  նորմատիվ իրավական ակտի նախագծի ՝ Սահմանադրությանը և «Նորմատիվ իրավական ակտերի մասին» օրենքին համապատասխանությունը որոշելու նպատակով:</w:t>
            </w:r>
          </w:p>
          <w:p w14:paraId="295E2225"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 xml:space="preserve">Արդարադատության նախարարության եզրակացությունների նպատակը չի </w:t>
            </w:r>
            <w:r w:rsidRPr="0030753D">
              <w:rPr>
                <w:rFonts w:ascii="GHEA Grapalat" w:hAnsi="GHEA Grapalat"/>
                <w:sz w:val="24"/>
                <w:szCs w:val="24"/>
                <w:lang w:val="hy-AM"/>
              </w:rPr>
              <w:lastRenderedPageBreak/>
              <w:t>համընկնում Հանձնաժողովի կողմից եզրակացությունների տրամադրման նպատակին:</w:t>
            </w:r>
          </w:p>
        </w:tc>
      </w:tr>
      <w:tr w:rsidR="0030753D" w:rsidRPr="0030753D" w14:paraId="32A41C4B" w14:textId="77777777" w:rsidTr="00BB4FBE">
        <w:tc>
          <w:tcPr>
            <w:tcW w:w="749" w:type="dxa"/>
          </w:tcPr>
          <w:p w14:paraId="04035C1E"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0FF1941D"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Նախագծի 38-րդ հոդվածի 1-ին մասի 29-րդ կետի համաձայն՝ Հանձնաժողովը սահմանում է ապրանքների և ծառայությունների անհատականացման միջոցների շփոթության աստիճանի նմանության որոշման կարգը:</w:t>
            </w:r>
          </w:p>
          <w:p w14:paraId="41CBCC44"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Այս կապակցությամբ հարկ է նշել, որ «Ապրանքային նշանների մասին» օրենքի հիման վրա ընդունված ՀՀ կառավարության 2010 թվականի նոյեմբերի 18-ի N 1538-Ն որոշմամբ հաստատված՝ ապրանքային նշանների հայտերը լրացնելու, ներկայացնելու և քննարկելու կարգի 115-133-րդ կետերով սահմանված են ՀՀ էկոնոմիկայի նախարարության Մտավոր սեփականության գործակալության կողմից ապրանքային նշանի հայտի ըստ էության </w:t>
            </w:r>
            <w:proofErr w:type="spellStart"/>
            <w:r w:rsidRPr="0030753D">
              <w:rPr>
                <w:rFonts w:ascii="GHEA Grapalat" w:hAnsi="GHEA Grapalat" w:cs="Sylfaen"/>
                <w:sz w:val="24"/>
                <w:szCs w:val="24"/>
                <w:lang w:val="hy-AM"/>
              </w:rPr>
              <w:t>փորաձաքննության</w:t>
            </w:r>
            <w:proofErr w:type="spellEnd"/>
            <w:r w:rsidRPr="0030753D">
              <w:rPr>
                <w:rFonts w:ascii="GHEA Grapalat" w:hAnsi="GHEA Grapalat" w:cs="Sylfaen"/>
                <w:sz w:val="24"/>
                <w:szCs w:val="24"/>
                <w:lang w:val="hy-AM"/>
              </w:rPr>
              <w:t xml:space="preserve"> ընթացքում ապրանքային նշանների՝ այլ նշաններին շփոթության աստիճանի նմանության որոշման կանոնները:</w:t>
            </w:r>
          </w:p>
          <w:p w14:paraId="42681B3A"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lastRenderedPageBreak/>
              <w:t xml:space="preserve"> Ապրանքային նշանների շփոթության աստիճանի </w:t>
            </w:r>
            <w:proofErr w:type="spellStart"/>
            <w:r w:rsidRPr="0030753D">
              <w:rPr>
                <w:rFonts w:ascii="GHEA Grapalat" w:hAnsi="GHEA Grapalat" w:cs="Sylfaen"/>
                <w:sz w:val="24"/>
                <w:szCs w:val="24"/>
                <w:lang w:val="hy-AM"/>
              </w:rPr>
              <w:t>նմանությունը</w:t>
            </w:r>
            <w:proofErr w:type="spellEnd"/>
            <w:r w:rsidRPr="0030753D">
              <w:rPr>
                <w:rFonts w:ascii="GHEA Grapalat" w:hAnsi="GHEA Grapalat" w:cs="Sylfaen"/>
                <w:sz w:val="24"/>
                <w:szCs w:val="24"/>
                <w:lang w:val="hy-AM"/>
              </w:rPr>
              <w:t xml:space="preserve"> որոշելու կանոններին, թիվ ՎԴ/4241/05/11 վարչական գործով 2014 թվականի հուլիսի 18-ին կայացրած որոշման շրջանակներում անդրադարձ է կատարել նաև ՀՀ վճռաբեկ դատարանը՝ մասնավորապես արձանագրելով. «…Շփոթելու աստիճան նման ապրանքային նշանի» ամբողջական բնորոշումը և բնութագրիչ հատկանիշները սահմանված են համապատասխան ենթաօրենսդրական ակտերում, մասնավորապես`…ՀՀ կառավարության 18.11.2010 թվականի թիվ 1538-Ն որոշմամբ հաստատված «Ապրանքային նշանների հայտերը լրացնելու, ներկայացնելու և քննարկելու կարգով»...»:</w:t>
            </w:r>
          </w:p>
          <w:p w14:paraId="2EE967B3"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Միևնույն ժամանակ վճռաբեկ դատարանն ընդգծել է, որ ապրանքային նշանների շփոթելու աստիճան </w:t>
            </w:r>
            <w:proofErr w:type="spellStart"/>
            <w:r w:rsidRPr="0030753D">
              <w:rPr>
                <w:rFonts w:ascii="GHEA Grapalat" w:hAnsi="GHEA Grapalat" w:cs="Sylfaen"/>
                <w:sz w:val="24"/>
                <w:szCs w:val="24"/>
                <w:lang w:val="hy-AM"/>
              </w:rPr>
              <w:t>նմանությունը</w:t>
            </w:r>
            <w:proofErr w:type="spellEnd"/>
            <w:r w:rsidRPr="0030753D">
              <w:rPr>
                <w:rFonts w:ascii="GHEA Grapalat" w:hAnsi="GHEA Grapalat" w:cs="Sylfaen"/>
                <w:sz w:val="24"/>
                <w:szCs w:val="24"/>
                <w:lang w:val="hy-AM"/>
              </w:rPr>
              <w:t xml:space="preserve"> յուրաքանչյուր կոնկրետ գործով գնահատման ենթակա փաստ է, որն իրականացնելու պարտականությունը կրում է դատարանը, և որը պետք է իրականացվի մի շարք պարտադիր չափորոշիչների (ապրանքային նշանների </w:t>
            </w:r>
            <w:proofErr w:type="spellStart"/>
            <w:r w:rsidRPr="0030753D">
              <w:rPr>
                <w:rFonts w:ascii="GHEA Grapalat" w:hAnsi="GHEA Grapalat" w:cs="Sylfaen"/>
                <w:sz w:val="24"/>
                <w:szCs w:val="24"/>
                <w:lang w:val="hy-AM"/>
              </w:rPr>
              <w:t>նմանությունը</w:t>
            </w:r>
            <w:proofErr w:type="spellEnd"/>
            <w:r w:rsidRPr="0030753D">
              <w:rPr>
                <w:rFonts w:ascii="GHEA Grapalat" w:hAnsi="GHEA Grapalat" w:cs="Sylfaen"/>
                <w:sz w:val="24"/>
                <w:szCs w:val="24"/>
                <w:lang w:val="hy-AM"/>
              </w:rPr>
              <w:t xml:space="preserve">, ապրանքային նշանի պաշտպանվածության աստիճանը, ապրանքատեսակների </w:t>
            </w:r>
            <w:proofErr w:type="spellStart"/>
            <w:r w:rsidRPr="0030753D">
              <w:rPr>
                <w:rFonts w:ascii="GHEA Grapalat" w:hAnsi="GHEA Grapalat" w:cs="Sylfaen"/>
                <w:sz w:val="24"/>
                <w:szCs w:val="24"/>
                <w:lang w:val="hy-AM"/>
              </w:rPr>
              <w:t>նմանությունը</w:t>
            </w:r>
            <w:proofErr w:type="spellEnd"/>
            <w:r w:rsidRPr="0030753D">
              <w:rPr>
                <w:rFonts w:ascii="GHEA Grapalat" w:hAnsi="GHEA Grapalat" w:cs="Sylfaen"/>
                <w:sz w:val="24"/>
                <w:szCs w:val="24"/>
                <w:lang w:val="hy-AM"/>
              </w:rPr>
              <w:t xml:space="preserve">, փաստացի շփոթության հնարավորությունը, օգտագործված մարքեթինգային ուղիները, ապրանքի տեսակը, գնորդի հավանական ուշադրությունը, արտադրանքի </w:t>
            </w:r>
            <w:r w:rsidRPr="0030753D">
              <w:rPr>
                <w:rFonts w:ascii="GHEA Grapalat" w:hAnsi="GHEA Grapalat" w:cs="Sylfaen"/>
                <w:sz w:val="24"/>
                <w:szCs w:val="24"/>
                <w:lang w:val="hy-AM"/>
              </w:rPr>
              <w:lastRenderedPageBreak/>
              <w:t>տեսականին ընդլայնելու հավանականությունը, ապրանքների մրցունակությունը և այլն) գնահատման արդյունքում :</w:t>
            </w:r>
          </w:p>
          <w:p w14:paraId="4B3BF985"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Վերոգրյալ </w:t>
            </w:r>
            <w:proofErr w:type="spellStart"/>
            <w:r w:rsidRPr="0030753D">
              <w:rPr>
                <w:rFonts w:ascii="GHEA Grapalat" w:hAnsi="GHEA Grapalat" w:cs="Sylfaen"/>
                <w:sz w:val="24"/>
                <w:szCs w:val="24"/>
                <w:lang w:val="hy-AM"/>
              </w:rPr>
              <w:t>կարգավորումների</w:t>
            </w:r>
            <w:proofErr w:type="spellEnd"/>
            <w:r w:rsidRPr="0030753D">
              <w:rPr>
                <w:rFonts w:ascii="GHEA Grapalat" w:hAnsi="GHEA Grapalat" w:cs="Sylfaen"/>
                <w:sz w:val="24"/>
                <w:szCs w:val="24"/>
                <w:lang w:val="hy-AM"/>
              </w:rPr>
              <w:t xml:space="preserve"> բովանդակային վերլուծությունից բխում է, որ ապրանքային նշանի՝ այլ նշաններին շփոթության աստիճանի </w:t>
            </w:r>
            <w:proofErr w:type="spellStart"/>
            <w:r w:rsidRPr="0030753D">
              <w:rPr>
                <w:rFonts w:ascii="GHEA Grapalat" w:hAnsi="GHEA Grapalat" w:cs="Sylfaen"/>
                <w:sz w:val="24"/>
                <w:szCs w:val="24"/>
                <w:lang w:val="hy-AM"/>
              </w:rPr>
              <w:t>նմանությունը</w:t>
            </w:r>
            <w:proofErr w:type="spellEnd"/>
            <w:r w:rsidRPr="0030753D">
              <w:rPr>
                <w:rFonts w:ascii="GHEA Grapalat" w:hAnsi="GHEA Grapalat" w:cs="Sylfaen"/>
                <w:sz w:val="24"/>
                <w:szCs w:val="24"/>
                <w:lang w:val="hy-AM"/>
              </w:rPr>
              <w:t xml:space="preserve"> գնահատելու իրավասություն Հանձնաժողովից բացի ունի նաև Մտավոր սեփականության գործակալությունը՝ ապրանքային նշանի հայտի ըստ էության փորձաքննություն իրականացնելիս, որի ընթացքում վերջինս առաջնորդվում է ՀՀ կառավարության հիշատակված որոշմամբ սահմանված գնահատման կանոններով: Ավելին, յուրաքանչյուր կոնկրետ գործով ապրանքային նշանների շփոթության աստիճանի </w:t>
            </w:r>
            <w:proofErr w:type="spellStart"/>
            <w:r w:rsidRPr="0030753D">
              <w:rPr>
                <w:rFonts w:ascii="GHEA Grapalat" w:hAnsi="GHEA Grapalat" w:cs="Sylfaen"/>
                <w:sz w:val="24"/>
                <w:szCs w:val="24"/>
                <w:lang w:val="hy-AM"/>
              </w:rPr>
              <w:t>նմանությունը</w:t>
            </w:r>
            <w:proofErr w:type="spellEnd"/>
            <w:r w:rsidRPr="0030753D">
              <w:rPr>
                <w:rFonts w:ascii="GHEA Grapalat" w:hAnsi="GHEA Grapalat" w:cs="Sylfaen"/>
                <w:sz w:val="24"/>
                <w:szCs w:val="24"/>
                <w:lang w:val="hy-AM"/>
              </w:rPr>
              <w:t xml:space="preserve"> որոշելու պարտականություն ունի նաև դատարանը, որը, իր հերթին, կարող է առաջնորդվել ՀՀ վճռաբեկ դատարանի նախադեպային որոշումներով  սահմանված՝ գնահատման կանոններով:</w:t>
            </w:r>
          </w:p>
          <w:p w14:paraId="56E045B2"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Մինչդեռ Նախագծով սահմանվող լիազորող նորմի տառացի մեկնաբանության դեպքում, կարող է տպավորություն ստեղծվել, որ խոսքը Հանձնաժողովի կողմից առհասարակ ապրանքների և ծառայությունների անհատականացման միջոցների շփոթության աստիճանի նմանության որոշման կարգ սահմանելու մասին է, որով պետք է առաջնորդվել </w:t>
            </w:r>
            <w:r w:rsidRPr="0030753D">
              <w:rPr>
                <w:rFonts w:ascii="GHEA Grapalat" w:hAnsi="GHEA Grapalat" w:cs="Sylfaen"/>
                <w:sz w:val="24"/>
                <w:szCs w:val="24"/>
                <w:lang w:val="hy-AM"/>
              </w:rPr>
              <w:lastRenderedPageBreak/>
              <w:t xml:space="preserve">ապրանքների և ծառայությունների անհատականացման միջոցների շփոթության աստիճանի նմանության որոշման բոլոր դեպքերում, այդ թվում՝ նման իրավասություն ունեցող մյուս մարմինների կողմից: Հետևաբար, Սահմանադրության 6-րդ հոդվածով ամրագրված՝ լիազորող նորմի՝ իրավական որոշակիության սկզբունքին համապատասխանությունն ապահովելու նպատակով առաջարկում ենք Հանձնաժողովի՝ նշված կարգը հաստատելու </w:t>
            </w:r>
            <w:proofErr w:type="spellStart"/>
            <w:r w:rsidRPr="0030753D">
              <w:rPr>
                <w:rFonts w:ascii="GHEA Grapalat" w:hAnsi="GHEA Grapalat" w:cs="Sylfaen"/>
                <w:sz w:val="24"/>
                <w:szCs w:val="24"/>
                <w:lang w:val="hy-AM"/>
              </w:rPr>
              <w:t>լիազորությունն</w:t>
            </w:r>
            <w:proofErr w:type="spellEnd"/>
            <w:r w:rsidRPr="0030753D">
              <w:rPr>
                <w:rFonts w:ascii="GHEA Grapalat" w:hAnsi="GHEA Grapalat" w:cs="Sylfaen"/>
                <w:sz w:val="24"/>
                <w:szCs w:val="24"/>
                <w:lang w:val="hy-AM"/>
              </w:rPr>
              <w:t xml:space="preserve"> </w:t>
            </w:r>
            <w:proofErr w:type="spellStart"/>
            <w:r w:rsidRPr="0030753D">
              <w:rPr>
                <w:rFonts w:ascii="GHEA Grapalat" w:hAnsi="GHEA Grapalat" w:cs="Sylfaen"/>
                <w:sz w:val="24"/>
                <w:szCs w:val="24"/>
                <w:lang w:val="hy-AM"/>
              </w:rPr>
              <w:t>ամրագրող</w:t>
            </w:r>
            <w:proofErr w:type="spellEnd"/>
            <w:r w:rsidRPr="0030753D">
              <w:rPr>
                <w:rFonts w:ascii="GHEA Grapalat" w:hAnsi="GHEA Grapalat" w:cs="Sylfaen"/>
                <w:sz w:val="24"/>
                <w:szCs w:val="24"/>
                <w:lang w:val="hy-AM"/>
              </w:rPr>
              <w:t xml:space="preserve"> լիազորող նորմում հստակեցնել, որ խոսքը Հանձնաժողովի կողմից հարուցված վարույթի շրջանակներում ապրանքների և ծառայությունների անհատականացման միջոցների </w:t>
            </w:r>
            <w:proofErr w:type="spellStart"/>
            <w:r w:rsidRPr="0030753D">
              <w:rPr>
                <w:rFonts w:ascii="GHEA Grapalat" w:hAnsi="GHEA Grapalat" w:cs="Sylfaen"/>
                <w:sz w:val="24"/>
                <w:szCs w:val="24"/>
                <w:lang w:val="hy-AM"/>
              </w:rPr>
              <w:t>շփոփության</w:t>
            </w:r>
            <w:proofErr w:type="spellEnd"/>
            <w:r w:rsidRPr="0030753D">
              <w:rPr>
                <w:rFonts w:ascii="GHEA Grapalat" w:hAnsi="GHEA Grapalat" w:cs="Sylfaen"/>
                <w:sz w:val="24"/>
                <w:szCs w:val="24"/>
                <w:lang w:val="hy-AM"/>
              </w:rPr>
              <w:t xml:space="preserve"> աստիճանի նմանության հարցի որոշման կարգի մասին է: Ընդ որում, կարծում ենք, որ այս դեպքում լրացուցիչ հիմնավորման կարիք ունի նաև Հանձնաժողովի կողմից իրականացվող վարույթի շրջանակներում ՀՀ կառավարության հիշատակված որոշմամբ սահմանված կանոններից տարբերվող այլ կանոններ նախատեսելու անհրաժեշտությունը։</w:t>
            </w:r>
          </w:p>
        </w:tc>
        <w:tc>
          <w:tcPr>
            <w:tcW w:w="2268" w:type="dxa"/>
          </w:tcPr>
          <w:p w14:paraId="74DEAA75"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Ընդունվել է մասնակի</w:t>
            </w:r>
          </w:p>
        </w:tc>
        <w:tc>
          <w:tcPr>
            <w:tcW w:w="4678" w:type="dxa"/>
          </w:tcPr>
          <w:p w14:paraId="1D3E40D1"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 xml:space="preserve">Լիազորող նորմը փոփոխվել է եզրակացությամբ տրված </w:t>
            </w:r>
            <w:proofErr w:type="spellStart"/>
            <w:r w:rsidRPr="0030753D">
              <w:rPr>
                <w:rFonts w:ascii="GHEA Grapalat" w:hAnsi="GHEA Grapalat"/>
                <w:sz w:val="24"/>
                <w:szCs w:val="24"/>
                <w:lang w:val="hy-AM"/>
              </w:rPr>
              <w:t>ձևակերպմամբ</w:t>
            </w:r>
            <w:proofErr w:type="spellEnd"/>
            <w:r w:rsidRPr="0030753D">
              <w:rPr>
                <w:rFonts w:ascii="GHEA Grapalat" w:hAnsi="GHEA Grapalat"/>
                <w:sz w:val="24"/>
                <w:szCs w:val="24"/>
                <w:lang w:val="hy-AM"/>
              </w:rPr>
              <w:t>։</w:t>
            </w:r>
          </w:p>
          <w:p w14:paraId="78496492"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 xml:space="preserve">Նախագծով նախատեսված չէ այնպիսի կարգավորում, որը տարբերվում է </w:t>
            </w:r>
            <w:r w:rsidRPr="0030753D">
              <w:rPr>
                <w:rFonts w:ascii="GHEA Grapalat" w:hAnsi="GHEA Grapalat" w:cs="Sylfaen"/>
                <w:sz w:val="24"/>
                <w:szCs w:val="24"/>
                <w:lang w:val="hy-AM"/>
              </w:rPr>
              <w:t xml:space="preserve">ՀՀ կառավարության 2010 թվականի նոյեմբերի 18-ի N 1538-Ն որոշմամբ հաստատված՝ ապրանքային նշանների հայտերը լրացնելու, ներկայացնելու և քննարկելու կարգի դրույթներից, սակայն այդ կարգից տարբերվող նորմեր կարող են նախատեսվել քննարկվող լիազորող նորմի հիման վրա ընդունվող նորմատիվ իրավական ակտով, քանի որ ապրանքային նշանների հայտերը լրացնելու, ներկայացնելու և քննարկելու կարգը </w:t>
            </w:r>
            <w:r w:rsidRPr="0030753D">
              <w:rPr>
                <w:rFonts w:ascii="GHEA Grapalat" w:hAnsi="GHEA Grapalat" w:cs="Sylfaen"/>
                <w:sz w:val="24"/>
                <w:szCs w:val="24"/>
                <w:lang w:val="hy-AM"/>
              </w:rPr>
              <w:lastRenderedPageBreak/>
              <w:t xml:space="preserve">ապրանքային նշանների շփոթության աստիճանի նմանության հարցը կարգավորում է ապրանքային նշանի գրանցման հայտի փորձաքննություն իրականացնելիս, մինչդեռ Նախագծով հանձնաժողովը ապրանքային նշանների շփոթության աստիճանի </w:t>
            </w:r>
            <w:proofErr w:type="spellStart"/>
            <w:r w:rsidRPr="0030753D">
              <w:rPr>
                <w:rFonts w:ascii="GHEA Grapalat" w:hAnsi="GHEA Grapalat" w:cs="Sylfaen"/>
                <w:sz w:val="24"/>
                <w:szCs w:val="24"/>
                <w:lang w:val="hy-AM"/>
              </w:rPr>
              <w:t>նմանությունը</w:t>
            </w:r>
            <w:proofErr w:type="spellEnd"/>
            <w:r w:rsidRPr="0030753D">
              <w:rPr>
                <w:rFonts w:ascii="GHEA Grapalat" w:hAnsi="GHEA Grapalat" w:cs="Sylfaen"/>
                <w:sz w:val="24"/>
                <w:szCs w:val="24"/>
                <w:lang w:val="hy-AM"/>
              </w:rPr>
              <w:t xml:space="preserve"> պետք է գնահատի հիմնվելով դրանց օգտագործման, այլ տնտեսվարող սուբյեկտի կամ նրա գործունեության նկատմամբ շփոթություն առաջացնելու հնարավորության և տնտեսական մրցակցության վրա հնարավոր կամ փաստացի ունեցած ազդեցությունից։</w:t>
            </w:r>
          </w:p>
        </w:tc>
      </w:tr>
      <w:tr w:rsidR="0030753D" w:rsidRPr="0030753D" w14:paraId="24DB6E4C" w14:textId="77777777" w:rsidTr="00BB4FBE">
        <w:tc>
          <w:tcPr>
            <w:tcW w:w="749" w:type="dxa"/>
          </w:tcPr>
          <w:p w14:paraId="5CDE2869"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51C122B4"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64-րդ հոդվածի 1-ին մասի համաձայն՝ Հանձնաժողովի պատճառաբանված որոշմամբ վարույթի իրականացման ժամկետը կարող է </w:t>
            </w:r>
            <w:proofErr w:type="spellStart"/>
            <w:r w:rsidRPr="0030753D">
              <w:rPr>
                <w:rFonts w:ascii="GHEA Grapalat" w:hAnsi="GHEA Grapalat" w:cs="Sylfaen"/>
                <w:sz w:val="24"/>
                <w:szCs w:val="24"/>
                <w:lang w:val="hy-AM"/>
              </w:rPr>
              <w:t>երկրարաձգվել</w:t>
            </w:r>
            <w:proofErr w:type="spellEnd"/>
            <w:r w:rsidRPr="0030753D">
              <w:rPr>
                <w:rFonts w:ascii="GHEA Grapalat" w:hAnsi="GHEA Grapalat" w:cs="Sylfaen"/>
                <w:sz w:val="24"/>
                <w:szCs w:val="24"/>
                <w:lang w:val="hy-AM"/>
              </w:rPr>
              <w:t xml:space="preserve"> մինչև երեք ամսով: Այս կապակցությամբ գտնում ենք, որ նշված դրույթի </w:t>
            </w:r>
            <w:r w:rsidRPr="0030753D">
              <w:rPr>
                <w:rFonts w:ascii="GHEA Grapalat" w:hAnsi="GHEA Grapalat" w:cs="Sylfaen"/>
                <w:sz w:val="24"/>
                <w:szCs w:val="24"/>
                <w:lang w:val="hy-AM"/>
              </w:rPr>
              <w:lastRenderedPageBreak/>
              <w:t xml:space="preserve">հնարավոր </w:t>
            </w:r>
            <w:proofErr w:type="spellStart"/>
            <w:r w:rsidRPr="0030753D">
              <w:rPr>
                <w:rFonts w:ascii="GHEA Grapalat" w:hAnsi="GHEA Grapalat" w:cs="Sylfaen"/>
                <w:sz w:val="24"/>
                <w:szCs w:val="24"/>
                <w:lang w:val="hy-AM"/>
              </w:rPr>
              <w:t>տարընկալումը</w:t>
            </w:r>
            <w:proofErr w:type="spellEnd"/>
            <w:r w:rsidRPr="0030753D">
              <w:rPr>
                <w:rFonts w:ascii="GHEA Grapalat" w:hAnsi="GHEA Grapalat" w:cs="Sylfaen"/>
                <w:sz w:val="24"/>
                <w:szCs w:val="24"/>
                <w:lang w:val="hy-AM"/>
              </w:rPr>
              <w:t xml:space="preserve"> բացառելու և </w:t>
            </w:r>
            <w:proofErr w:type="spellStart"/>
            <w:r w:rsidRPr="0030753D">
              <w:rPr>
                <w:rFonts w:ascii="GHEA Grapalat" w:hAnsi="GHEA Grapalat" w:cs="Sylfaen"/>
                <w:sz w:val="24"/>
                <w:szCs w:val="24"/>
                <w:lang w:val="hy-AM"/>
              </w:rPr>
              <w:t>վարչարարության</w:t>
            </w:r>
            <w:proofErr w:type="spellEnd"/>
            <w:r w:rsidRPr="0030753D">
              <w:rPr>
                <w:rFonts w:ascii="GHEA Grapalat" w:hAnsi="GHEA Grapalat" w:cs="Sylfaen"/>
                <w:sz w:val="24"/>
                <w:szCs w:val="24"/>
                <w:lang w:val="hy-AM"/>
              </w:rPr>
              <w:t xml:space="preserve"> </w:t>
            </w:r>
            <w:proofErr w:type="spellStart"/>
            <w:r w:rsidRPr="0030753D">
              <w:rPr>
                <w:rFonts w:ascii="GHEA Grapalat" w:hAnsi="GHEA Grapalat" w:cs="Sylfaen"/>
                <w:sz w:val="24"/>
                <w:szCs w:val="24"/>
                <w:lang w:val="hy-AM"/>
              </w:rPr>
              <w:t>տնտեսվարության</w:t>
            </w:r>
            <w:proofErr w:type="spellEnd"/>
            <w:r w:rsidRPr="0030753D">
              <w:rPr>
                <w:rFonts w:ascii="GHEA Grapalat" w:hAnsi="GHEA Grapalat" w:cs="Sylfaen"/>
                <w:sz w:val="24"/>
                <w:szCs w:val="24"/>
                <w:lang w:val="hy-AM"/>
              </w:rPr>
              <w:t xml:space="preserve"> սկզբունքի ապահովման անհրաժեշտությունից ելնելով՝ անհրաժեշտ է հստակեցնել, որ խոսքը վարչական վարույթի ժամկետը ոչ ավել քան մեկ անգամ երկարաձգելու հնարավորության մասին է:</w:t>
            </w:r>
          </w:p>
        </w:tc>
        <w:tc>
          <w:tcPr>
            <w:tcW w:w="2268" w:type="dxa"/>
          </w:tcPr>
          <w:p w14:paraId="795D3611"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Ընդունվել է մասնակի</w:t>
            </w:r>
          </w:p>
        </w:tc>
        <w:tc>
          <w:tcPr>
            <w:tcW w:w="4678" w:type="dxa"/>
          </w:tcPr>
          <w:p w14:paraId="07F032D9"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Հստակեցվել են յուրաքանչյուր վարույթի ժամկետը և այն երկարաձգելու հնարավորությունը։</w:t>
            </w:r>
          </w:p>
        </w:tc>
      </w:tr>
      <w:tr w:rsidR="0030753D" w:rsidRPr="0030753D" w14:paraId="4B977253" w14:textId="77777777" w:rsidTr="00BB4FBE">
        <w:tc>
          <w:tcPr>
            <w:tcW w:w="749" w:type="dxa"/>
          </w:tcPr>
          <w:p w14:paraId="11232DAF"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0D9C3E69"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73-րդ հոդվածի 2-րդ մասի համաձայն՝ հայտարարագրման ենթակա </w:t>
            </w:r>
            <w:proofErr w:type="spellStart"/>
            <w:r w:rsidRPr="0030753D">
              <w:rPr>
                <w:rFonts w:ascii="GHEA Grapalat" w:hAnsi="GHEA Grapalat" w:cs="Sylfaen"/>
                <w:sz w:val="24"/>
                <w:szCs w:val="24"/>
                <w:lang w:val="hy-AM"/>
              </w:rPr>
              <w:t>համակենտրոնացումն</w:t>
            </w:r>
            <w:proofErr w:type="spellEnd"/>
            <w:r w:rsidRPr="0030753D">
              <w:rPr>
                <w:rFonts w:ascii="GHEA Grapalat" w:hAnsi="GHEA Grapalat" w:cs="Sylfaen"/>
                <w:sz w:val="24"/>
                <w:szCs w:val="24"/>
                <w:lang w:val="hy-AM"/>
              </w:rPr>
              <w:t xml:space="preserve"> արգելելու հիմքերի առկայության դեպքում Հանձնաժողովը հայտարարագրման ենթակա համակենտրոնացումը թույլ է տալիս այն դեպքում, երբ տնտեսվարող սուբյեկտն ապացուցում է, որ տվյալ համակենտրոնացման արդյունքով ապրանքային շուկայում կապահովվեն բարենպաստ մրցակցային պայմաններ և չեն վնասվի սպառողների շահերը: </w:t>
            </w:r>
          </w:p>
          <w:p w14:paraId="3E12FF96"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Կարծում ենք՝ տնտեսվարող սուբյեկտի կողմից ապրանքային շուկայում բարենպաստ մրցակցային պայմանների ապահովման և սպառողների շահերին չվնասելու հանգամանքների ապացուցման ընթացակարգն ունի հստակեցման կարիք, քանի որ օրինակ՝ Նախագծի 71-րդ հոդվածի 1-ին մասի 4-րդ կետով նախատեսված </w:t>
            </w:r>
            <w:proofErr w:type="spellStart"/>
            <w:r w:rsidRPr="0030753D">
              <w:rPr>
                <w:rFonts w:ascii="GHEA Grapalat" w:hAnsi="GHEA Grapalat" w:cs="Sylfaen"/>
                <w:sz w:val="24"/>
                <w:szCs w:val="24"/>
                <w:lang w:val="hy-AM"/>
              </w:rPr>
              <w:t>համակենտրոնացումն</w:t>
            </w:r>
            <w:proofErr w:type="spellEnd"/>
            <w:r w:rsidRPr="0030753D">
              <w:rPr>
                <w:rFonts w:ascii="GHEA Grapalat" w:hAnsi="GHEA Grapalat" w:cs="Sylfaen"/>
                <w:sz w:val="24"/>
                <w:szCs w:val="24"/>
                <w:lang w:val="hy-AM"/>
              </w:rPr>
              <w:t xml:space="preserve"> արգելելու հիմքի (համակենտրոնացման մասնակցի կողմից համակենտրոնացման ազդեցությունը համապատասխան ապրանքային շուկայում գնահատելու համար Հանձնաժողովի կողմից էական </w:t>
            </w:r>
            <w:r w:rsidRPr="0030753D">
              <w:rPr>
                <w:rFonts w:ascii="GHEA Grapalat" w:hAnsi="GHEA Grapalat" w:cs="Sylfaen"/>
                <w:sz w:val="24"/>
                <w:szCs w:val="24"/>
                <w:lang w:val="hy-AM"/>
              </w:rPr>
              <w:lastRenderedPageBreak/>
              <w:t xml:space="preserve">դիտարկվող տեղեկատվություն չներկայացնելը, եթե այդ տեղեկատվությունն այլ աղբյուրներից ստանալն անհնար է) առկայության դեպքում պարզ չէ՝ Հանձնաժողովն ինչի հիման վրա պետք է գնահատի համակենտրոնացման արդյունքով ապրանքային շուկայում բարենպաստ պայմաններ ապահովվելու և սպառողների շահերին վնաս չպատճառվելու </w:t>
            </w:r>
            <w:proofErr w:type="spellStart"/>
            <w:r w:rsidRPr="0030753D">
              <w:rPr>
                <w:rFonts w:ascii="GHEA Grapalat" w:hAnsi="GHEA Grapalat" w:cs="Sylfaen"/>
                <w:sz w:val="24"/>
                <w:szCs w:val="24"/>
                <w:lang w:val="hy-AM"/>
              </w:rPr>
              <w:t>հանգամանքերը</w:t>
            </w:r>
            <w:proofErr w:type="spellEnd"/>
            <w:r w:rsidRPr="0030753D">
              <w:rPr>
                <w:rFonts w:ascii="GHEA Grapalat" w:hAnsi="GHEA Grapalat" w:cs="Sylfaen"/>
                <w:sz w:val="24"/>
                <w:szCs w:val="24"/>
                <w:lang w:val="hy-AM"/>
              </w:rPr>
              <w:t>:</w:t>
            </w:r>
          </w:p>
        </w:tc>
        <w:tc>
          <w:tcPr>
            <w:tcW w:w="2268" w:type="dxa"/>
          </w:tcPr>
          <w:p w14:paraId="79E3F53B"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Չի ընդունվել</w:t>
            </w:r>
          </w:p>
        </w:tc>
        <w:tc>
          <w:tcPr>
            <w:tcW w:w="4678" w:type="dxa"/>
          </w:tcPr>
          <w:p w14:paraId="3943CD2C" w14:textId="77777777" w:rsidR="0030753D" w:rsidRPr="0030753D" w:rsidRDefault="0030753D" w:rsidP="00BB4FBE">
            <w:pPr>
              <w:spacing w:after="0"/>
              <w:jc w:val="center"/>
              <w:rPr>
                <w:rFonts w:ascii="GHEA Grapalat" w:hAnsi="GHEA Grapalat" w:cs="Sylfaen"/>
                <w:sz w:val="24"/>
                <w:szCs w:val="24"/>
                <w:lang w:val="hy-AM"/>
              </w:rPr>
            </w:pPr>
            <w:r w:rsidRPr="0030753D">
              <w:rPr>
                <w:rFonts w:ascii="GHEA Grapalat" w:hAnsi="GHEA Grapalat"/>
                <w:sz w:val="24"/>
                <w:szCs w:val="24"/>
                <w:lang w:val="hy-AM"/>
              </w:rPr>
              <w:t xml:space="preserve">Նախագծի 71-րդ հոդվածի 1-ին մասի 4-րդ կետով նկարագրված </w:t>
            </w:r>
            <w:proofErr w:type="spellStart"/>
            <w:r w:rsidRPr="0030753D">
              <w:rPr>
                <w:rFonts w:ascii="GHEA Grapalat" w:hAnsi="GHEA Grapalat"/>
                <w:sz w:val="24"/>
                <w:szCs w:val="24"/>
                <w:lang w:val="hy-AM"/>
              </w:rPr>
              <w:t>փաստակազմի</w:t>
            </w:r>
            <w:proofErr w:type="spellEnd"/>
            <w:r w:rsidRPr="0030753D">
              <w:rPr>
                <w:rFonts w:ascii="GHEA Grapalat" w:hAnsi="GHEA Grapalat"/>
                <w:sz w:val="24"/>
                <w:szCs w:val="24"/>
                <w:lang w:val="hy-AM"/>
              </w:rPr>
              <w:t xml:space="preserve"> առկայության պարագայում Նախագծի 73-րդ հոդվածի 2-րդ մասով նախատեսված </w:t>
            </w:r>
            <w:proofErr w:type="spellStart"/>
            <w:r w:rsidRPr="0030753D">
              <w:rPr>
                <w:rFonts w:ascii="GHEA Grapalat" w:hAnsi="GHEA Grapalat"/>
                <w:sz w:val="24"/>
                <w:szCs w:val="24"/>
                <w:lang w:val="hy-AM"/>
              </w:rPr>
              <w:t>հետևանքներն</w:t>
            </w:r>
            <w:proofErr w:type="spellEnd"/>
            <w:r w:rsidRPr="0030753D">
              <w:rPr>
                <w:rFonts w:ascii="GHEA Grapalat" w:hAnsi="GHEA Grapalat"/>
                <w:sz w:val="24"/>
                <w:szCs w:val="24"/>
                <w:lang w:val="hy-AM"/>
              </w:rPr>
              <w:t xml:space="preserve"> ապացուցելու դեպքում համակենտրոնացումը թույլատրելու հնարավորությունը պայմանավորված է այն հանգամանքով, որ հանձնաժողովը համակենտրոնացման հետևանքները գնահատելու հարցում կարող է էական համարել որոշ տեղեկությունների առկայությունը, մինչդեռ տնտեսվարող սուբյեկտը կարող է այդ տեղեկությունները չտրամադրել, սակայն այլ եղանակով հիմնավորել համակենտրոնացման </w:t>
            </w:r>
            <w:r w:rsidRPr="0030753D">
              <w:rPr>
                <w:rFonts w:ascii="GHEA Grapalat" w:hAnsi="GHEA Grapalat" w:cs="Sylfaen"/>
                <w:sz w:val="24"/>
                <w:szCs w:val="24"/>
                <w:lang w:val="hy-AM"/>
              </w:rPr>
              <w:t xml:space="preserve">արդյունքով ապրանքային շուկայում բարենպաստ մրցակցային պայմաններ ապահովվելու </w:t>
            </w:r>
            <w:r w:rsidRPr="0030753D">
              <w:rPr>
                <w:rFonts w:ascii="GHEA Grapalat" w:hAnsi="GHEA Grapalat" w:cs="Sylfaen"/>
                <w:sz w:val="24"/>
                <w:szCs w:val="24"/>
                <w:lang w:val="hy-AM"/>
              </w:rPr>
              <w:lastRenderedPageBreak/>
              <w:t>և սպառողների շահերը չվնասվելու հանգամանքները։</w:t>
            </w:r>
          </w:p>
          <w:p w14:paraId="7922EAD2"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cs="Sylfaen"/>
                <w:sz w:val="24"/>
                <w:szCs w:val="24"/>
                <w:lang w:val="hy-AM"/>
              </w:rPr>
              <w:t xml:space="preserve">Բացի այդ, նման դեպքերում Հանձնաժողովը, Նախագծի 73-րդ հոդվածի 3-րդ մասի համաձայն, կարող է համակենտրոնացումը թույլատրելիս </w:t>
            </w:r>
            <w:proofErr w:type="spellStart"/>
            <w:r w:rsidRPr="0030753D">
              <w:rPr>
                <w:rFonts w:ascii="GHEA Grapalat" w:hAnsi="GHEA Grapalat" w:cs="Sylfaen"/>
                <w:sz w:val="24"/>
                <w:szCs w:val="24"/>
                <w:lang w:val="hy-AM"/>
              </w:rPr>
              <w:t>համեկնտրոնացման</w:t>
            </w:r>
            <w:proofErr w:type="spellEnd"/>
            <w:r w:rsidRPr="0030753D">
              <w:rPr>
                <w:rFonts w:ascii="GHEA Grapalat" w:hAnsi="GHEA Grapalat" w:cs="Sylfaen"/>
                <w:sz w:val="24"/>
                <w:szCs w:val="24"/>
                <w:lang w:val="hy-AM"/>
              </w:rPr>
              <w:t xml:space="preserve"> մասնակիցների համար սահմանել </w:t>
            </w:r>
            <w:r w:rsidRPr="0030753D">
              <w:rPr>
                <w:rFonts w:ascii="GHEA Grapalat" w:eastAsia="Times New Roman" w:hAnsi="GHEA Grapalat" w:cs="Calibri"/>
                <w:color w:val="000000"/>
                <w:sz w:val="24"/>
                <w:szCs w:val="24"/>
                <w:lang w:val="hy-AM"/>
              </w:rPr>
              <w:t>պարտադիր կատարման ենթակա պայմաններ և պարտավորություններ։</w:t>
            </w:r>
          </w:p>
        </w:tc>
      </w:tr>
      <w:tr w:rsidR="0030753D" w:rsidRPr="0030753D" w14:paraId="0FEAF58A" w14:textId="77777777" w:rsidTr="00BB4FBE">
        <w:tc>
          <w:tcPr>
            <w:tcW w:w="749" w:type="dxa"/>
          </w:tcPr>
          <w:p w14:paraId="0C09B3B2"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6B3F6976"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78-րդ հոդվածի 4-րդ մասում օգտագործվող «օրենքի խախտումը հաստատող նյութեր» </w:t>
            </w:r>
            <w:proofErr w:type="spellStart"/>
            <w:r w:rsidRPr="0030753D">
              <w:rPr>
                <w:rFonts w:ascii="GHEA Grapalat" w:hAnsi="GHEA Grapalat" w:cs="Sylfaen"/>
                <w:sz w:val="24"/>
                <w:szCs w:val="24"/>
                <w:lang w:val="hy-AM"/>
              </w:rPr>
              <w:t>ձևակերպումն</w:t>
            </w:r>
            <w:proofErr w:type="spellEnd"/>
            <w:r w:rsidRPr="0030753D">
              <w:rPr>
                <w:rFonts w:ascii="GHEA Grapalat" w:hAnsi="GHEA Grapalat" w:cs="Sylfaen"/>
                <w:sz w:val="24"/>
                <w:szCs w:val="24"/>
                <w:lang w:val="hy-AM"/>
              </w:rPr>
              <w:t xml:space="preserve"> առաջարկում ենք փոխարինել «պահանջը հիմնավորող նյութեր» </w:t>
            </w:r>
            <w:proofErr w:type="spellStart"/>
            <w:r w:rsidRPr="0030753D">
              <w:rPr>
                <w:rFonts w:ascii="GHEA Grapalat" w:hAnsi="GHEA Grapalat" w:cs="Sylfaen"/>
                <w:sz w:val="24"/>
                <w:szCs w:val="24"/>
                <w:lang w:val="hy-AM"/>
              </w:rPr>
              <w:t>ձևակերպմամբ</w:t>
            </w:r>
            <w:proofErr w:type="spellEnd"/>
            <w:r w:rsidRPr="0030753D">
              <w:rPr>
                <w:rFonts w:ascii="GHEA Grapalat" w:hAnsi="GHEA Grapalat" w:cs="Sylfaen"/>
                <w:sz w:val="24"/>
                <w:szCs w:val="24"/>
                <w:lang w:val="hy-AM"/>
              </w:rPr>
              <w:t>, քանի որ օրենքի խախտման փաստը կարող է հաստատվել միայն հաղորդման հիման վրա հարուցված վարչական վարույթի արդյունքներով:</w:t>
            </w:r>
          </w:p>
        </w:tc>
        <w:tc>
          <w:tcPr>
            <w:tcW w:w="2268" w:type="dxa"/>
          </w:tcPr>
          <w:p w14:paraId="7ABDBDBD"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t>Ընդունվել է մասնակի</w:t>
            </w:r>
          </w:p>
        </w:tc>
        <w:tc>
          <w:tcPr>
            <w:tcW w:w="4678" w:type="dxa"/>
          </w:tcPr>
          <w:p w14:paraId="5C24EED3"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 xml:space="preserve">«Պահանջ» </w:t>
            </w:r>
            <w:proofErr w:type="spellStart"/>
            <w:r w:rsidRPr="0030753D">
              <w:rPr>
                <w:rFonts w:ascii="GHEA Grapalat" w:hAnsi="GHEA Grapalat"/>
                <w:sz w:val="24"/>
                <w:szCs w:val="24"/>
                <w:lang w:val="hy-AM"/>
              </w:rPr>
              <w:t>եզրույթը</w:t>
            </w:r>
            <w:proofErr w:type="spellEnd"/>
            <w:r w:rsidRPr="0030753D">
              <w:rPr>
                <w:rFonts w:ascii="GHEA Grapalat" w:hAnsi="GHEA Grapalat"/>
                <w:sz w:val="24"/>
                <w:szCs w:val="24"/>
                <w:lang w:val="hy-AM"/>
              </w:rPr>
              <w:t xml:space="preserve"> տվյալ դեպքում կիրառելի չէ, քանի որ հաղորդմամբ որևէ պահանջ չի ներկայացվում։ Փոխարենը «օրենքի խախտումը հաստատող նյութեր» </w:t>
            </w:r>
            <w:proofErr w:type="spellStart"/>
            <w:r w:rsidRPr="0030753D">
              <w:rPr>
                <w:rFonts w:ascii="GHEA Grapalat" w:hAnsi="GHEA Grapalat"/>
                <w:sz w:val="24"/>
                <w:szCs w:val="24"/>
                <w:lang w:val="hy-AM"/>
              </w:rPr>
              <w:t>ձևակերպումը</w:t>
            </w:r>
            <w:proofErr w:type="spellEnd"/>
            <w:r w:rsidRPr="0030753D">
              <w:rPr>
                <w:rFonts w:ascii="GHEA Grapalat" w:hAnsi="GHEA Grapalat"/>
                <w:sz w:val="24"/>
                <w:szCs w:val="24"/>
                <w:lang w:val="hy-AM"/>
              </w:rPr>
              <w:t xml:space="preserve"> փոխարինվել է «հաղորդման մեջ նկարագրված փաստերի առկայությունը հիմնավորող նյութեր» </w:t>
            </w:r>
            <w:proofErr w:type="spellStart"/>
            <w:r w:rsidRPr="0030753D">
              <w:rPr>
                <w:rFonts w:ascii="GHEA Grapalat" w:hAnsi="GHEA Grapalat"/>
                <w:sz w:val="24"/>
                <w:szCs w:val="24"/>
                <w:lang w:val="hy-AM"/>
              </w:rPr>
              <w:t>ձևակերպմամբ</w:t>
            </w:r>
            <w:proofErr w:type="spellEnd"/>
            <w:r w:rsidRPr="0030753D">
              <w:rPr>
                <w:rFonts w:ascii="GHEA Grapalat" w:hAnsi="GHEA Grapalat"/>
                <w:sz w:val="24"/>
                <w:szCs w:val="24"/>
                <w:lang w:val="hy-AM"/>
              </w:rPr>
              <w:t>, ինչը բխում է եզրակացությամբ ներկայացված տրամաբանությունից։</w:t>
            </w:r>
          </w:p>
        </w:tc>
      </w:tr>
      <w:tr w:rsidR="0030753D" w:rsidRPr="0030753D" w14:paraId="4E2FD8DC" w14:textId="77777777" w:rsidTr="00BB4FBE">
        <w:tc>
          <w:tcPr>
            <w:tcW w:w="749" w:type="dxa"/>
          </w:tcPr>
          <w:p w14:paraId="43DA5D4A"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2B39B587"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81-րդ հոդվածում որպես տնտեսական մրցակցության բնագավառում իրավախախտման վերաբերյալ վարույթի հարուցման մերժման հիմք՝ առաջարկում ենք լրացնել նաև միևնույն անձի, միևնույն առարկայի վերաբերյալ և միևնույն հիմքերով օրինական ուժի մեջ մտած դատական ակտի </w:t>
            </w:r>
            <w:r w:rsidRPr="0030753D">
              <w:rPr>
                <w:rFonts w:ascii="GHEA Grapalat" w:hAnsi="GHEA Grapalat" w:cs="Sylfaen"/>
                <w:sz w:val="24"/>
                <w:szCs w:val="24"/>
                <w:lang w:val="hy-AM"/>
              </w:rPr>
              <w:lastRenderedPageBreak/>
              <w:t>առկայությունը՝ հաշվի առնելով հնարավոր այն իրավիճակները, երբ պատասխանատվության միջոց կիրառելու կամ պատասխանատվության միջոցի կիրառումից ազատելու մասին Հանձնաժողովի որոշումները բողոքարկվում են դատական կարգով, որի արդյունքում կայացված դատական ակտի առկայությունը նույնպես, մեր կարծիքով, պետք է լինի իրավախախտման վերաբերյալ վարույթի հարուցումը բացառող հանգամանք: Միևնույն ժամանակ նույն հոդվածի 1-ին մասի 5-րդ և 6-րդ կետերում «կատարած» բառից հետո առաջարկում ենք համապատասխանաբար լրացնել «ֆիզիկական» և «իրավաբանական» բառերը:</w:t>
            </w:r>
          </w:p>
        </w:tc>
        <w:tc>
          <w:tcPr>
            <w:tcW w:w="2268" w:type="dxa"/>
          </w:tcPr>
          <w:p w14:paraId="5FF5C71F"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Ընդունվել է</w:t>
            </w:r>
          </w:p>
        </w:tc>
        <w:tc>
          <w:tcPr>
            <w:tcW w:w="4678" w:type="dxa"/>
          </w:tcPr>
          <w:p w14:paraId="72E4CA3F"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Նախագծում կատարվել են համապատասխան փոփոխություններ։</w:t>
            </w:r>
          </w:p>
        </w:tc>
      </w:tr>
      <w:tr w:rsidR="0030753D" w:rsidRPr="0030753D" w14:paraId="760B6517" w14:textId="77777777" w:rsidTr="00BB4FBE">
        <w:tc>
          <w:tcPr>
            <w:tcW w:w="749" w:type="dxa"/>
          </w:tcPr>
          <w:p w14:paraId="1C9F4112"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24901E84"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88-րդ հոդվածի 4-րդ մասի 6-րդ կետի համաձայն՝ բանավոր </w:t>
            </w:r>
            <w:proofErr w:type="spellStart"/>
            <w:r w:rsidRPr="0030753D">
              <w:rPr>
                <w:rFonts w:ascii="GHEA Grapalat" w:hAnsi="GHEA Grapalat" w:cs="Sylfaen"/>
                <w:sz w:val="24"/>
                <w:szCs w:val="24"/>
                <w:lang w:val="hy-AM"/>
              </w:rPr>
              <w:t>լսման</w:t>
            </w:r>
            <w:proofErr w:type="spellEnd"/>
            <w:r w:rsidRPr="0030753D">
              <w:rPr>
                <w:rFonts w:ascii="GHEA Grapalat" w:hAnsi="GHEA Grapalat" w:cs="Sylfaen"/>
                <w:sz w:val="24"/>
                <w:szCs w:val="24"/>
                <w:lang w:val="hy-AM"/>
              </w:rPr>
              <w:t xml:space="preserve"> նպատակով հրավիրված նիստի ընթացքում՝ վարույթի մասնակիցները և այլ անձինք պատասխանում են Հանձնաժողովի նախագահի և անդամների, իսկ նախագահողի համաձայնությամբ՝ նաև Հանձնաժողովի աշխատողների հարցերին: Գտնում ենք, որ Հանձնաժողովի աշխատողների կողմից ևս վարույթի մասնակիցներին հարցեր տալու հնարավորությունը </w:t>
            </w:r>
            <w:proofErr w:type="spellStart"/>
            <w:r w:rsidRPr="0030753D">
              <w:rPr>
                <w:rFonts w:ascii="GHEA Grapalat" w:hAnsi="GHEA Grapalat" w:cs="Sylfaen"/>
                <w:sz w:val="24"/>
                <w:szCs w:val="24"/>
                <w:lang w:val="hy-AM"/>
              </w:rPr>
              <w:t>խնդրահարույց</w:t>
            </w:r>
            <w:proofErr w:type="spellEnd"/>
            <w:r w:rsidRPr="0030753D">
              <w:rPr>
                <w:rFonts w:ascii="GHEA Grapalat" w:hAnsi="GHEA Grapalat" w:cs="Sylfaen"/>
                <w:sz w:val="24"/>
                <w:szCs w:val="24"/>
                <w:lang w:val="hy-AM"/>
              </w:rPr>
              <w:t xml:space="preserve"> է՝ վարչական վարույթի շրջանակներում վերջիններիս կարգավիճակի տեսանկյունից:</w:t>
            </w:r>
          </w:p>
        </w:tc>
        <w:tc>
          <w:tcPr>
            <w:tcW w:w="2268" w:type="dxa"/>
          </w:tcPr>
          <w:p w14:paraId="47EF72AA"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t>Չի ընդունվել</w:t>
            </w:r>
          </w:p>
        </w:tc>
        <w:tc>
          <w:tcPr>
            <w:tcW w:w="4678" w:type="dxa"/>
          </w:tcPr>
          <w:p w14:paraId="480EACE3"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 xml:space="preserve">Հարկ է նկատի ունենալ, որ վարչական վարույթի արդյունքում փաստական հանգամանքների հաստատումը, գնահատումը և վերջնական որոշման կայացումը իրականացվում է Հանձնաժողովի անդամների կողմից։ Հանձնաժողովի աշխատակիցների կողմից վարույթի մասնակիցներին հարցեր տալու հնարավորություն նախատեսելը պայմանավորված է գործի բազմակողմանի, լրիվ և օբյեկտիվ քննություն իրականացնելու պահանջով, ինչը բխում է վարույթի </w:t>
            </w:r>
            <w:r w:rsidRPr="0030753D">
              <w:rPr>
                <w:rFonts w:ascii="GHEA Grapalat" w:hAnsi="GHEA Grapalat"/>
                <w:sz w:val="24"/>
                <w:szCs w:val="24"/>
                <w:lang w:val="hy-AM"/>
              </w:rPr>
              <w:lastRenderedPageBreak/>
              <w:t xml:space="preserve">մասնակիցների շահերից և նրանց իրավունքների արդյունավետ պաշտպանություն </w:t>
            </w:r>
            <w:proofErr w:type="spellStart"/>
            <w:r w:rsidRPr="0030753D">
              <w:rPr>
                <w:rFonts w:ascii="GHEA Grapalat" w:hAnsi="GHEA Grapalat"/>
                <w:sz w:val="24"/>
                <w:szCs w:val="24"/>
                <w:lang w:val="hy-AM"/>
              </w:rPr>
              <w:t>իրականցնելու</w:t>
            </w:r>
            <w:proofErr w:type="spellEnd"/>
            <w:r w:rsidRPr="0030753D">
              <w:rPr>
                <w:rFonts w:ascii="GHEA Grapalat" w:hAnsi="GHEA Grapalat"/>
                <w:sz w:val="24"/>
                <w:szCs w:val="24"/>
                <w:lang w:val="hy-AM"/>
              </w:rPr>
              <w:t xml:space="preserve"> ևս մեկ միջոց է, որը չի խախտում որևէ անձի՝ այդ թվում վարույթի մասնակիցների իրավունքները և բխում է Հանձնաժողովի լիազորությունների իրականացմանն աջակցելու Հանձնաժողովի աշխատակիցների պարտականությունից։</w:t>
            </w:r>
          </w:p>
        </w:tc>
      </w:tr>
      <w:tr w:rsidR="0030753D" w:rsidRPr="0030753D" w14:paraId="6B521A39" w14:textId="77777777" w:rsidTr="00BB4FBE">
        <w:tc>
          <w:tcPr>
            <w:tcW w:w="749" w:type="dxa"/>
          </w:tcPr>
          <w:p w14:paraId="2E322163"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54379A85"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89-րդ հոդվածի 6-րդ մասում «արագացված վարույթի կիրառման մասին պատասխանատվության միջոց կիրառելիս» </w:t>
            </w:r>
            <w:proofErr w:type="spellStart"/>
            <w:r w:rsidRPr="0030753D">
              <w:rPr>
                <w:rFonts w:ascii="GHEA Grapalat" w:hAnsi="GHEA Grapalat" w:cs="Sylfaen"/>
                <w:sz w:val="24"/>
                <w:szCs w:val="24"/>
                <w:lang w:val="hy-AM"/>
              </w:rPr>
              <w:t>ձևակերպումն</w:t>
            </w:r>
            <w:proofErr w:type="spellEnd"/>
            <w:r w:rsidRPr="0030753D">
              <w:rPr>
                <w:rFonts w:ascii="GHEA Grapalat" w:hAnsi="GHEA Grapalat" w:cs="Sylfaen"/>
                <w:sz w:val="24"/>
                <w:szCs w:val="24"/>
                <w:lang w:val="hy-AM"/>
              </w:rPr>
              <w:t xml:space="preserve"> անհրաժեշտ է խմբագրել, քանի որ նշված </w:t>
            </w:r>
            <w:proofErr w:type="spellStart"/>
            <w:r w:rsidRPr="0030753D">
              <w:rPr>
                <w:rFonts w:ascii="GHEA Grapalat" w:hAnsi="GHEA Grapalat" w:cs="Sylfaen"/>
                <w:sz w:val="24"/>
                <w:szCs w:val="24"/>
                <w:lang w:val="hy-AM"/>
              </w:rPr>
              <w:t>դրույթում</w:t>
            </w:r>
            <w:proofErr w:type="spellEnd"/>
            <w:r w:rsidRPr="0030753D">
              <w:rPr>
                <w:rFonts w:ascii="GHEA Grapalat" w:hAnsi="GHEA Grapalat" w:cs="Sylfaen"/>
                <w:sz w:val="24"/>
                <w:szCs w:val="24"/>
                <w:lang w:val="hy-AM"/>
              </w:rPr>
              <w:t xml:space="preserve"> առկա է իմաստային անհամապատասխանություն:</w:t>
            </w:r>
          </w:p>
        </w:tc>
        <w:tc>
          <w:tcPr>
            <w:tcW w:w="2268" w:type="dxa"/>
          </w:tcPr>
          <w:p w14:paraId="742FCC0F"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t>Ընդունվել է</w:t>
            </w:r>
          </w:p>
        </w:tc>
        <w:tc>
          <w:tcPr>
            <w:tcW w:w="4678" w:type="dxa"/>
          </w:tcPr>
          <w:p w14:paraId="68B4634B"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Նախագծում կատարվել են համապատասխան փոփոխություններ։</w:t>
            </w:r>
          </w:p>
        </w:tc>
      </w:tr>
      <w:tr w:rsidR="0030753D" w:rsidRPr="0030753D" w14:paraId="74557E36" w14:textId="77777777" w:rsidTr="00BB4FBE">
        <w:tc>
          <w:tcPr>
            <w:tcW w:w="749" w:type="dxa"/>
          </w:tcPr>
          <w:p w14:paraId="47C4DEB7"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66A0DC6F"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97-րդ հոդվածի 3-րդ մասում թվարկված բոլոր պայմանները կամ դրանցից որևէ մեկը չկատարելը՝ որպես պատասխանատվությունից ազատելը բացառող հիմքերի միաժամանակյա ամրագրումը մեր կարծիքով առարկայազուրկ է, քանի որ թվարկված պայմաններից որևէ մեկը չկատարելն ինքնին բավարար է անձին պատասխանատվությունից չազատելու համար: Հետևաբար գտնում ենք, որ որպես անձին </w:t>
            </w:r>
            <w:proofErr w:type="spellStart"/>
            <w:r w:rsidRPr="0030753D">
              <w:rPr>
                <w:rFonts w:ascii="GHEA Grapalat" w:hAnsi="GHEA Grapalat" w:cs="Sylfaen"/>
                <w:sz w:val="24"/>
                <w:szCs w:val="24"/>
                <w:lang w:val="hy-AM"/>
              </w:rPr>
              <w:t>պատասխատվությունից</w:t>
            </w:r>
            <w:proofErr w:type="spellEnd"/>
            <w:r w:rsidRPr="0030753D">
              <w:rPr>
                <w:rFonts w:ascii="GHEA Grapalat" w:hAnsi="GHEA Grapalat" w:cs="Sylfaen"/>
                <w:sz w:val="24"/>
                <w:szCs w:val="24"/>
                <w:lang w:val="hy-AM"/>
              </w:rPr>
              <w:t xml:space="preserve"> ազատելը բացառող հանգամանք անհրաժեշտ է նախատեսել կամ միայն </w:t>
            </w:r>
            <w:r w:rsidRPr="0030753D">
              <w:rPr>
                <w:rFonts w:ascii="GHEA Grapalat" w:hAnsi="GHEA Grapalat" w:cs="Sylfaen"/>
                <w:sz w:val="24"/>
                <w:szCs w:val="24"/>
                <w:lang w:val="hy-AM"/>
              </w:rPr>
              <w:lastRenderedPageBreak/>
              <w:t>թվարկված բոլոր պայմանները չկատարելը, կամ միայն՝  պայմաններից որևէ մեկը չկատարելը:</w:t>
            </w:r>
          </w:p>
        </w:tc>
        <w:tc>
          <w:tcPr>
            <w:tcW w:w="2268" w:type="dxa"/>
          </w:tcPr>
          <w:p w14:paraId="443572E1"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Ընդունվել է</w:t>
            </w:r>
          </w:p>
        </w:tc>
        <w:tc>
          <w:tcPr>
            <w:tcW w:w="4678" w:type="dxa"/>
          </w:tcPr>
          <w:p w14:paraId="5184F26F"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Նախագծում կատարվել են համապատասխան փոփոխություններ։</w:t>
            </w:r>
          </w:p>
        </w:tc>
      </w:tr>
      <w:tr w:rsidR="0030753D" w:rsidRPr="0030753D" w14:paraId="52A3EB4C" w14:textId="77777777" w:rsidTr="00BB4FBE">
        <w:tc>
          <w:tcPr>
            <w:tcW w:w="749" w:type="dxa"/>
          </w:tcPr>
          <w:p w14:paraId="0ED7E16B"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0AEF8CD5"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Նախագծի 98-րդ հոդվածի 4-րդ մասի համաձայն՝ եթե տուգանքի չափի նվազեցման մասին դիմում ներկայացնելու պահին տնտեսվարող սուբյեկտը մեկ այլ հակամրցակցային համաձայնության մասնակից է և հայտնում է նաև այդ հակամրցակցային համաձայնության մասին, ապա այդ տնտեսվարող սուբյեկտը կարող է դիմում ներկայացնել Հանձնաժողով՝ տուգանքի վճարումից ամբողջովին ազատվելու համար` սույն օրենքի 97-րդ հոդվածով սահմանված կարգով: </w:t>
            </w:r>
          </w:p>
          <w:p w14:paraId="22FA7B62"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Կարծում ենք՝ նման մոտեցումը արդարացված չէ, քանի որ փաստացի ստացվում է, որ երկու հակամրցակցային համաձայնության մասնակցի համար (ինչը, մեր կարծիքով, ունի առավել բարձր հանրային վտանգավորության աստիճան) նախատեսվում է առավել բարենպաստ կարգավորում, այն է՝ տուգանքի վճարումից ամբողջովին ազատում, քան հակամրցակցային մեկ համաձայնության մասնակցի համար, որի համար նախատեսվում է միայն տուգանքի վճարի չափի նվազեցման հնարավորություն: Ուստի դեռևս չբացահայտված </w:t>
            </w:r>
            <w:proofErr w:type="spellStart"/>
            <w:r w:rsidRPr="0030753D">
              <w:rPr>
                <w:rFonts w:ascii="GHEA Grapalat" w:hAnsi="GHEA Grapalat" w:cs="Sylfaen"/>
                <w:sz w:val="24"/>
                <w:szCs w:val="24"/>
                <w:lang w:val="hy-AM"/>
              </w:rPr>
              <w:t>հակամրցակային</w:t>
            </w:r>
            <w:proofErr w:type="spellEnd"/>
            <w:r w:rsidRPr="0030753D">
              <w:rPr>
                <w:rFonts w:ascii="GHEA Grapalat" w:hAnsi="GHEA Grapalat" w:cs="Sylfaen"/>
                <w:sz w:val="24"/>
                <w:szCs w:val="24"/>
                <w:lang w:val="hy-AM"/>
              </w:rPr>
              <w:t xml:space="preserve"> համաձայնության մասին Հանձնաժողովին հայտնելու համար տնտեսվարող սուբյեկտի համար որպես խրախուսական նորմ </w:t>
            </w:r>
            <w:r w:rsidRPr="0030753D">
              <w:rPr>
                <w:rFonts w:ascii="GHEA Grapalat" w:hAnsi="GHEA Grapalat" w:cs="Sylfaen"/>
                <w:sz w:val="24"/>
                <w:szCs w:val="24"/>
                <w:lang w:val="hy-AM"/>
              </w:rPr>
              <w:lastRenderedPageBreak/>
              <w:t xml:space="preserve">առաջարկում ենք սահմանել ոչ թե տուգանքի վճարումից առհասարակ ազատվելու, այլ նոր բացահայտվող  հակամրցակցային համաձայնության համար տուգանքի վճարումից ազատվելու, իսկ արդեն իսկ հարուցված վարչական վարույթի շրջանակներում քննվող մյուսի համար՝ տուգանքի չափն ընդհանուր </w:t>
            </w:r>
            <w:proofErr w:type="spellStart"/>
            <w:r w:rsidRPr="0030753D">
              <w:rPr>
                <w:rFonts w:ascii="GHEA Grapalat" w:hAnsi="GHEA Grapalat" w:cs="Sylfaen"/>
                <w:sz w:val="24"/>
                <w:szCs w:val="24"/>
                <w:lang w:val="hy-AM"/>
              </w:rPr>
              <w:t>հիմունքերով</w:t>
            </w:r>
            <w:proofErr w:type="spellEnd"/>
            <w:r w:rsidRPr="0030753D">
              <w:rPr>
                <w:rFonts w:ascii="GHEA Grapalat" w:hAnsi="GHEA Grapalat" w:cs="Sylfaen"/>
                <w:sz w:val="24"/>
                <w:szCs w:val="24"/>
                <w:lang w:val="hy-AM"/>
              </w:rPr>
              <w:t xml:space="preserve"> նվազեցնելու վերաբերյալ կարգավորում:</w:t>
            </w:r>
          </w:p>
        </w:tc>
        <w:tc>
          <w:tcPr>
            <w:tcW w:w="2268" w:type="dxa"/>
          </w:tcPr>
          <w:p w14:paraId="7E5C1452"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Ընդունվել է</w:t>
            </w:r>
          </w:p>
        </w:tc>
        <w:tc>
          <w:tcPr>
            <w:tcW w:w="4678" w:type="dxa"/>
          </w:tcPr>
          <w:p w14:paraId="2D84970F"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Նախագծում կատարվել են համապատասխան փոփոխություններ։</w:t>
            </w:r>
          </w:p>
        </w:tc>
      </w:tr>
      <w:tr w:rsidR="0030753D" w:rsidRPr="0030753D" w14:paraId="192E82A2" w14:textId="77777777" w:rsidTr="00BB4FBE">
        <w:tc>
          <w:tcPr>
            <w:tcW w:w="749" w:type="dxa"/>
          </w:tcPr>
          <w:p w14:paraId="75869C12"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481E5A18"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և լրացումներ կատարելու մասին» օրենքի նախագծի 3-րդ հոդվածով նոր խմբագրությամբ </w:t>
            </w:r>
            <w:proofErr w:type="spellStart"/>
            <w:r w:rsidRPr="0030753D">
              <w:rPr>
                <w:rFonts w:ascii="GHEA Grapalat" w:hAnsi="GHEA Grapalat" w:cs="Sylfaen"/>
                <w:sz w:val="24"/>
                <w:szCs w:val="24"/>
                <w:lang w:val="hy-AM"/>
              </w:rPr>
              <w:t>շարադրվող</w:t>
            </w:r>
            <w:proofErr w:type="spellEnd"/>
            <w:r w:rsidRPr="0030753D">
              <w:rPr>
                <w:rFonts w:ascii="GHEA Grapalat" w:hAnsi="GHEA Grapalat" w:cs="Sylfaen"/>
                <w:sz w:val="24"/>
                <w:szCs w:val="24"/>
                <w:lang w:val="hy-AM"/>
              </w:rPr>
              <w:t xml:space="preserve"> 31-րդ հոդվածի 3-րդ մասում անհրաժեշտ է հստակեցնել «համապատասխան գրառում» և «համապատասխան ծածկագիր» </w:t>
            </w:r>
            <w:proofErr w:type="spellStart"/>
            <w:r w:rsidRPr="0030753D">
              <w:rPr>
                <w:rFonts w:ascii="GHEA Grapalat" w:hAnsi="GHEA Grapalat" w:cs="Sylfaen"/>
                <w:sz w:val="24"/>
                <w:szCs w:val="24"/>
                <w:lang w:val="hy-AM"/>
              </w:rPr>
              <w:t>եզրույթները</w:t>
            </w:r>
            <w:proofErr w:type="spellEnd"/>
            <w:r w:rsidRPr="0030753D">
              <w:rPr>
                <w:rFonts w:ascii="GHEA Grapalat" w:hAnsi="GHEA Grapalat" w:cs="Sylfaen"/>
                <w:sz w:val="24"/>
                <w:szCs w:val="24"/>
                <w:lang w:val="hy-AM"/>
              </w:rPr>
              <w:t>, մասնավորապես՝ նշելով, թե ում կողմից կատարվող և ինչ գրառման, ինչպես նաև ում կողմից տրամադրվող ծածկագրի մասին է խոսքը:</w:t>
            </w:r>
          </w:p>
        </w:tc>
        <w:tc>
          <w:tcPr>
            <w:tcW w:w="2268" w:type="dxa"/>
          </w:tcPr>
          <w:p w14:paraId="4F7338CA"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t>Ընդունվել է</w:t>
            </w:r>
          </w:p>
        </w:tc>
        <w:tc>
          <w:tcPr>
            <w:tcW w:w="4678" w:type="dxa"/>
          </w:tcPr>
          <w:p w14:paraId="125670B5"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Նախագծում կատարվել են համապատասխան փոփոխություններ։</w:t>
            </w:r>
          </w:p>
        </w:tc>
      </w:tr>
      <w:tr w:rsidR="0030753D" w:rsidRPr="0030753D" w14:paraId="3FB2AF73" w14:textId="77777777" w:rsidTr="00BB4FBE">
        <w:tc>
          <w:tcPr>
            <w:tcW w:w="749" w:type="dxa"/>
          </w:tcPr>
          <w:p w14:paraId="28564124"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100DD613"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««Դատական ակտերի հարկադիր կատարման մասին» օրենքում լրացումներ կատարելու մասին» օրենքի նախագծի 2-րդ հոդվածով նախատեսվում է օրենքի 2-րդ հոդվածի 1-ին մասը լրացնել 9-րդ կետով, մինչդեռ հիշյալ մասում արդեն իսկ առկա է 9-րդ կետ: Նախագծի 3-րդ հոդվածում «և Մրցակցության պաշտպանության հանձնաժողովի…» բառերն </w:t>
            </w:r>
            <w:r w:rsidRPr="0030753D">
              <w:rPr>
                <w:rFonts w:ascii="GHEA Grapalat" w:hAnsi="GHEA Grapalat" w:cs="Sylfaen"/>
                <w:sz w:val="24"/>
                <w:szCs w:val="24"/>
                <w:lang w:val="hy-AM"/>
              </w:rPr>
              <w:lastRenderedPageBreak/>
              <w:t>առաջարկում ենք փոխարինել «, Մրցակցության պաշտպանության հանձնաժողովի…» բառերով, քանի որ «Տնտեսական մրցակցության պաշտպանության մասին» օրենքով նախատեսված կարգով հարկադիր կատարման ուղարկելու մասին դիմումը հարկադիր կատարման միջոցների կիրառման ինքնուրույն հիմք է:</w:t>
            </w:r>
          </w:p>
        </w:tc>
        <w:tc>
          <w:tcPr>
            <w:tcW w:w="2268" w:type="dxa"/>
          </w:tcPr>
          <w:p w14:paraId="7DDA6220"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Ընդունվել է</w:t>
            </w:r>
          </w:p>
        </w:tc>
        <w:tc>
          <w:tcPr>
            <w:tcW w:w="4678" w:type="dxa"/>
          </w:tcPr>
          <w:p w14:paraId="3DF373EA"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Նախագծում կատարվել են համապատասխան փոփոխություններ։</w:t>
            </w:r>
          </w:p>
        </w:tc>
      </w:tr>
      <w:tr w:rsidR="0030753D" w:rsidRPr="0030753D" w14:paraId="7E1B99E4" w14:textId="77777777" w:rsidTr="00BB4FBE">
        <w:tc>
          <w:tcPr>
            <w:tcW w:w="749" w:type="dxa"/>
          </w:tcPr>
          <w:p w14:paraId="4501A7A4"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6B8928C0"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«Հայաստանի Հանրապետության քրեական դատավարության օրենսգրքում փոփոխություն կատարելու մասին» օրենքի նախագծով նախատեսվող փոփոխության անհրաժեշտությունը բացակայում է, քանի որ օրենսգրքի փոփոխվող հոդվածում «Տնտեսական մրցակցության պաշտպանության պետական» բառերը բացակայում են:</w:t>
            </w:r>
          </w:p>
        </w:tc>
        <w:tc>
          <w:tcPr>
            <w:tcW w:w="2268" w:type="dxa"/>
          </w:tcPr>
          <w:p w14:paraId="07ED365B"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t>Ընդունվել է</w:t>
            </w:r>
          </w:p>
        </w:tc>
        <w:tc>
          <w:tcPr>
            <w:tcW w:w="4678" w:type="dxa"/>
          </w:tcPr>
          <w:p w14:paraId="324AE40D"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Նախագիծը հանվել է Նախագծերի փաթեթից։</w:t>
            </w:r>
          </w:p>
        </w:tc>
      </w:tr>
      <w:tr w:rsidR="0030753D" w:rsidRPr="0030753D" w14:paraId="707867D8" w14:textId="77777777" w:rsidTr="00BB4FBE">
        <w:tc>
          <w:tcPr>
            <w:tcW w:w="749" w:type="dxa"/>
          </w:tcPr>
          <w:p w14:paraId="03EBB180"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04051DBF"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««Օպերատիվ-հետախուզական գործունեության մասին» օրենքում լրացումներ և փոփոխություն կատարելու մասին» օրենքի նախագծի 6-րդ հոդվածում «սույն օրենքով սահմանված խնդիրներն» բառերն անհրաժեշտ է փոխարինել «իրենց խնդիրներն» բառերով՝ նկատի ունենալով օրենքի փոփոխվող հոդվածի բովանդակությունը:</w:t>
            </w:r>
          </w:p>
        </w:tc>
        <w:tc>
          <w:tcPr>
            <w:tcW w:w="2268" w:type="dxa"/>
          </w:tcPr>
          <w:p w14:paraId="5352DC3C"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t>Ընդունվել է</w:t>
            </w:r>
          </w:p>
        </w:tc>
        <w:tc>
          <w:tcPr>
            <w:tcW w:w="4678" w:type="dxa"/>
          </w:tcPr>
          <w:p w14:paraId="2CD7DE50" w14:textId="77777777" w:rsidR="0030753D" w:rsidRPr="0030753D" w:rsidRDefault="0030753D" w:rsidP="00BB4FBE">
            <w:pPr>
              <w:spacing w:after="0"/>
              <w:jc w:val="center"/>
              <w:rPr>
                <w:rFonts w:ascii="GHEA Grapalat" w:hAnsi="GHEA Grapalat"/>
                <w:sz w:val="24"/>
                <w:szCs w:val="24"/>
                <w:lang w:val="hy-AM"/>
              </w:rPr>
            </w:pPr>
            <w:r w:rsidRPr="0030753D">
              <w:rPr>
                <w:rFonts w:ascii="GHEA Grapalat" w:hAnsi="GHEA Grapalat"/>
                <w:sz w:val="24"/>
                <w:szCs w:val="24"/>
                <w:lang w:val="hy-AM"/>
              </w:rPr>
              <w:t>Նախագծում կատարվել են համապատասխան փոփոխություններ։</w:t>
            </w:r>
          </w:p>
        </w:tc>
      </w:tr>
      <w:tr w:rsidR="0030753D" w:rsidRPr="0030753D" w14:paraId="0FB01A5B" w14:textId="77777777" w:rsidTr="00BB4FBE">
        <w:tc>
          <w:tcPr>
            <w:tcW w:w="749" w:type="dxa"/>
          </w:tcPr>
          <w:p w14:paraId="5634BFEE" w14:textId="77777777" w:rsidR="0030753D" w:rsidRPr="0030753D" w:rsidRDefault="0030753D" w:rsidP="00BB4FBE">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6350" w:type="dxa"/>
          </w:tcPr>
          <w:p w14:paraId="40B3EE0B" w14:textId="77777777" w:rsidR="0030753D" w:rsidRPr="0030753D" w:rsidRDefault="0030753D" w:rsidP="00BB4FBE">
            <w:pPr>
              <w:pStyle w:val="ListParagraph"/>
              <w:spacing w:after="0"/>
              <w:ind w:left="8"/>
              <w:jc w:val="center"/>
              <w:rPr>
                <w:rFonts w:ascii="GHEA Grapalat" w:hAnsi="GHEA Grapalat" w:cs="Sylfaen"/>
                <w:sz w:val="24"/>
                <w:szCs w:val="24"/>
                <w:lang w:val="hy-AM"/>
              </w:rPr>
            </w:pPr>
            <w:r w:rsidRPr="0030753D">
              <w:rPr>
                <w:rFonts w:ascii="GHEA Grapalat" w:hAnsi="GHEA Grapalat" w:cs="Sylfaen"/>
                <w:sz w:val="24"/>
                <w:szCs w:val="24"/>
                <w:lang w:val="hy-AM"/>
              </w:rPr>
              <w:t xml:space="preserve">««Հայաստանի Հանրապետությունում ստուգումների կազմակերպման և անցկացման մասին» օրենքում փոփոխություններ և լրացումներ կատարելու մասին», «Վարչական իրավախախտումների վերաբերյալ Հայաստանի Հանրապետության </w:t>
            </w:r>
            <w:proofErr w:type="spellStart"/>
            <w:r w:rsidRPr="0030753D">
              <w:rPr>
                <w:rFonts w:ascii="GHEA Grapalat" w:hAnsi="GHEA Grapalat" w:cs="Sylfaen"/>
                <w:sz w:val="24"/>
                <w:szCs w:val="24"/>
                <w:lang w:val="hy-AM"/>
              </w:rPr>
              <w:t>օրնեսգրքում</w:t>
            </w:r>
            <w:proofErr w:type="spellEnd"/>
            <w:r w:rsidRPr="0030753D">
              <w:rPr>
                <w:rFonts w:ascii="GHEA Grapalat" w:hAnsi="GHEA Grapalat" w:cs="Sylfaen"/>
                <w:sz w:val="24"/>
                <w:szCs w:val="24"/>
                <w:lang w:val="hy-AM"/>
              </w:rPr>
              <w:t xml:space="preserve"> փոփոխություններ և լրացումներ կատարելու մասին», </w:t>
            </w:r>
            <w:r w:rsidRPr="0030753D">
              <w:rPr>
                <w:rFonts w:ascii="GHEA Grapalat" w:hAnsi="GHEA Grapalat" w:cs="Sylfaen"/>
                <w:sz w:val="24"/>
                <w:szCs w:val="24"/>
                <w:lang w:val="hy-AM"/>
              </w:rPr>
              <w:lastRenderedPageBreak/>
              <w:t>«Հայաստանի Հանրապետության քրեական օրենսգրքում փոփոխություն կատարելու մասին», ««Կենտրոնական բանկի մասին» օրենքում լրացում և փոփոխություններ կատարելու մասին», «Հայաստանի Հանրապետության քաղաքացիական օրենսգրքում փոփոխություններ կատարելու մասին», ««Էլեկտրոնային հաղորդակցության մասին» օրենքում փոփոխություններ կատարելու մասին», ««</w:t>
            </w:r>
            <w:proofErr w:type="spellStart"/>
            <w:r w:rsidRPr="0030753D">
              <w:rPr>
                <w:rFonts w:ascii="GHEA Grapalat" w:hAnsi="GHEA Grapalat" w:cs="Sylfaen"/>
                <w:sz w:val="24"/>
                <w:szCs w:val="24"/>
                <w:lang w:val="hy-AM"/>
              </w:rPr>
              <w:t>Սնանկության</w:t>
            </w:r>
            <w:proofErr w:type="spellEnd"/>
            <w:r w:rsidRPr="0030753D">
              <w:rPr>
                <w:rFonts w:ascii="GHEA Grapalat" w:hAnsi="GHEA Grapalat" w:cs="Sylfaen"/>
                <w:sz w:val="24"/>
                <w:szCs w:val="24"/>
                <w:lang w:val="hy-AM"/>
              </w:rPr>
              <w:t xml:space="preserve"> մասին» օրենքում փոփոխություններ կատարելու մասին», ««Արժեթղթերի շուկայի մասին» օրենքում փոփոխություն կատարելու մասին», ««Հատուկ քննչական ծառայության մասին» օրենքում փոփոխություն կատարելու մասին», ««Ազգային ժողովի կանոնակարգ» սահմանադրական օրենքում փոփոխություն և լրացումներ կատարելու մասին» օրենքների նախագծերի վերաբերյալ առարկություններ չունենք:</w:t>
            </w:r>
          </w:p>
        </w:tc>
        <w:tc>
          <w:tcPr>
            <w:tcW w:w="2268" w:type="dxa"/>
          </w:tcPr>
          <w:p w14:paraId="51BFFB01" w14:textId="77777777" w:rsidR="0030753D" w:rsidRPr="0030753D" w:rsidRDefault="0030753D" w:rsidP="00BB4FBE">
            <w:pPr>
              <w:spacing w:after="0"/>
              <w:jc w:val="center"/>
              <w:rPr>
                <w:rFonts w:ascii="GHEA Grapalat" w:hAnsi="GHEA Grapalat"/>
                <w:bCs/>
                <w:sz w:val="24"/>
                <w:szCs w:val="24"/>
                <w:lang w:val="hy-AM"/>
              </w:rPr>
            </w:pPr>
            <w:r w:rsidRPr="0030753D">
              <w:rPr>
                <w:rFonts w:ascii="GHEA Grapalat" w:hAnsi="GHEA Grapalat"/>
                <w:bCs/>
                <w:sz w:val="24"/>
                <w:szCs w:val="24"/>
                <w:lang w:val="hy-AM"/>
              </w:rPr>
              <w:lastRenderedPageBreak/>
              <w:t>Ընդունվել է ի գիտության</w:t>
            </w:r>
          </w:p>
        </w:tc>
        <w:tc>
          <w:tcPr>
            <w:tcW w:w="4678" w:type="dxa"/>
          </w:tcPr>
          <w:p w14:paraId="4D0D3B7D" w14:textId="77777777" w:rsidR="0030753D" w:rsidRPr="0030753D" w:rsidRDefault="0030753D" w:rsidP="00BB4FBE">
            <w:pPr>
              <w:spacing w:after="0"/>
              <w:jc w:val="center"/>
              <w:rPr>
                <w:rFonts w:ascii="GHEA Grapalat" w:hAnsi="GHEA Grapalat"/>
                <w:sz w:val="24"/>
                <w:szCs w:val="24"/>
                <w:lang w:val="hy-AM"/>
              </w:rPr>
            </w:pPr>
          </w:p>
        </w:tc>
      </w:tr>
    </w:tbl>
    <w:p w14:paraId="71EFD6C5" w14:textId="77777777" w:rsidR="0030753D" w:rsidRPr="0030753D" w:rsidRDefault="0030753D" w:rsidP="0030753D">
      <w:pPr>
        <w:rPr>
          <w:rFonts w:ascii="GHEA Grapalat" w:hAnsi="GHEA Grapalat"/>
          <w:sz w:val="24"/>
          <w:szCs w:val="24"/>
          <w:lang w:val="hy-AM"/>
        </w:rPr>
      </w:pPr>
    </w:p>
    <w:p w14:paraId="698FD5FA" w14:textId="77777777" w:rsidR="00E178D4" w:rsidRPr="0030753D" w:rsidRDefault="00E178D4" w:rsidP="0030753D">
      <w:pPr>
        <w:rPr>
          <w:lang w:val="hy-AM"/>
        </w:rPr>
      </w:pPr>
    </w:p>
    <w:sectPr w:rsidR="00E178D4" w:rsidRPr="0030753D" w:rsidSect="00E178D4">
      <w:footerReference w:type="default" r:id="rId8"/>
      <w:pgSz w:w="15840" w:h="12240" w:orient="landscape"/>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3C580" w14:textId="77777777" w:rsidR="00120400" w:rsidRDefault="00120400" w:rsidP="00995354">
      <w:pPr>
        <w:spacing w:after="0" w:line="240" w:lineRule="auto"/>
      </w:pPr>
      <w:r>
        <w:separator/>
      </w:r>
    </w:p>
  </w:endnote>
  <w:endnote w:type="continuationSeparator" w:id="0">
    <w:p w14:paraId="2BE53AB0" w14:textId="77777777" w:rsidR="00120400" w:rsidRDefault="00120400" w:rsidP="00995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5145814"/>
      <w:docPartObj>
        <w:docPartGallery w:val="Page Numbers (Bottom of Page)"/>
        <w:docPartUnique/>
      </w:docPartObj>
    </w:sdtPr>
    <w:sdtEndPr/>
    <w:sdtContent>
      <w:p w14:paraId="340E56F9" w14:textId="2D9713C4" w:rsidR="00A51AD2" w:rsidRDefault="00A51AD2">
        <w:pPr>
          <w:pStyle w:val="Footer"/>
          <w:jc w:val="center"/>
        </w:pPr>
        <w:r>
          <w:fldChar w:fldCharType="begin"/>
        </w:r>
        <w:r>
          <w:instrText>PAGE   \* MERGEFORMAT</w:instrText>
        </w:r>
        <w:r>
          <w:fldChar w:fldCharType="separate"/>
        </w:r>
        <w:r w:rsidR="0030753D" w:rsidRPr="0030753D">
          <w:rPr>
            <w:noProof/>
            <w:lang w:val="ru-RU"/>
          </w:rPr>
          <w:t>22</w:t>
        </w:r>
        <w:r>
          <w:fldChar w:fldCharType="end"/>
        </w:r>
      </w:p>
    </w:sdtContent>
  </w:sdt>
  <w:p w14:paraId="252B5F88" w14:textId="77777777" w:rsidR="00A51AD2" w:rsidRDefault="00A51AD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6118B6" w14:textId="77777777" w:rsidR="00120400" w:rsidRDefault="00120400" w:rsidP="00995354">
      <w:pPr>
        <w:spacing w:after="0" w:line="240" w:lineRule="auto"/>
      </w:pPr>
      <w:r>
        <w:separator/>
      </w:r>
    </w:p>
  </w:footnote>
  <w:footnote w:type="continuationSeparator" w:id="0">
    <w:p w14:paraId="23FF476E" w14:textId="77777777" w:rsidR="00120400" w:rsidRDefault="00120400" w:rsidP="009953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58FA"/>
    <w:multiLevelType w:val="hybridMultilevel"/>
    <w:tmpl w:val="BC2098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5F2B42"/>
    <w:multiLevelType w:val="hybridMultilevel"/>
    <w:tmpl w:val="272403A8"/>
    <w:lvl w:ilvl="0" w:tplc="736A1A58">
      <w:start w:val="1"/>
      <w:numFmt w:val="decimal"/>
      <w:lvlText w:val="%1."/>
      <w:lvlJc w:val="left"/>
      <w:pPr>
        <w:ind w:left="720" w:hanging="360"/>
      </w:pPr>
      <w:rPr>
        <w:rFonts w:ascii="GHEA Grapalat" w:eastAsia="Times New Roman" w:hAnsi="GHEA Grapalat" w:cs="Times New Roman" w:hint="default"/>
        <w:color w:val="273845"/>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B7346B"/>
    <w:multiLevelType w:val="hybridMultilevel"/>
    <w:tmpl w:val="4E464F94"/>
    <w:lvl w:ilvl="0" w:tplc="580890CA">
      <w:start w:val="1"/>
      <w:numFmt w:val="decimal"/>
      <w:lvlText w:val="%1."/>
      <w:lvlJc w:val="left"/>
      <w:pPr>
        <w:ind w:left="900" w:hanging="360"/>
      </w:pPr>
      <w:rPr>
        <w:rFonts w:cs="Arial"/>
        <w:i w:val="0"/>
        <w:color w:val="auto"/>
      </w:rPr>
    </w:lvl>
    <w:lvl w:ilvl="1" w:tplc="04090019">
      <w:start w:val="1"/>
      <w:numFmt w:val="lowerLetter"/>
      <w:lvlText w:val="%2."/>
      <w:lvlJc w:val="left"/>
      <w:pPr>
        <w:ind w:left="1791" w:hanging="360"/>
      </w:pPr>
    </w:lvl>
    <w:lvl w:ilvl="2" w:tplc="0409001B">
      <w:start w:val="1"/>
      <w:numFmt w:val="lowerRoman"/>
      <w:lvlText w:val="%3."/>
      <w:lvlJc w:val="right"/>
      <w:pPr>
        <w:ind w:left="2511" w:hanging="180"/>
      </w:pPr>
    </w:lvl>
    <w:lvl w:ilvl="3" w:tplc="0409000F">
      <w:start w:val="1"/>
      <w:numFmt w:val="decimal"/>
      <w:lvlText w:val="%4."/>
      <w:lvlJc w:val="left"/>
      <w:pPr>
        <w:ind w:left="3231" w:hanging="360"/>
      </w:pPr>
    </w:lvl>
    <w:lvl w:ilvl="4" w:tplc="04090019">
      <w:start w:val="1"/>
      <w:numFmt w:val="lowerLetter"/>
      <w:lvlText w:val="%5."/>
      <w:lvlJc w:val="left"/>
      <w:pPr>
        <w:ind w:left="3951" w:hanging="360"/>
      </w:pPr>
    </w:lvl>
    <w:lvl w:ilvl="5" w:tplc="0409001B">
      <w:start w:val="1"/>
      <w:numFmt w:val="lowerRoman"/>
      <w:lvlText w:val="%6."/>
      <w:lvlJc w:val="right"/>
      <w:pPr>
        <w:ind w:left="4671" w:hanging="180"/>
      </w:pPr>
    </w:lvl>
    <w:lvl w:ilvl="6" w:tplc="0409000F">
      <w:start w:val="1"/>
      <w:numFmt w:val="decimal"/>
      <w:lvlText w:val="%7."/>
      <w:lvlJc w:val="left"/>
      <w:pPr>
        <w:ind w:left="5391" w:hanging="360"/>
      </w:pPr>
    </w:lvl>
    <w:lvl w:ilvl="7" w:tplc="04090019">
      <w:start w:val="1"/>
      <w:numFmt w:val="lowerLetter"/>
      <w:lvlText w:val="%8."/>
      <w:lvlJc w:val="left"/>
      <w:pPr>
        <w:ind w:left="6111" w:hanging="360"/>
      </w:pPr>
    </w:lvl>
    <w:lvl w:ilvl="8" w:tplc="0409001B">
      <w:start w:val="1"/>
      <w:numFmt w:val="lowerRoman"/>
      <w:lvlText w:val="%9."/>
      <w:lvlJc w:val="right"/>
      <w:pPr>
        <w:ind w:left="6831" w:hanging="180"/>
      </w:pPr>
    </w:lvl>
  </w:abstractNum>
  <w:abstractNum w:abstractNumId="3" w15:restartNumberingAfterBreak="0">
    <w:nsid w:val="11326C47"/>
    <w:multiLevelType w:val="hybridMultilevel"/>
    <w:tmpl w:val="F1247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7047D8"/>
    <w:multiLevelType w:val="hybridMultilevel"/>
    <w:tmpl w:val="AC0E3AB8"/>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A1025C"/>
    <w:multiLevelType w:val="hybridMultilevel"/>
    <w:tmpl w:val="C21099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591813"/>
    <w:multiLevelType w:val="hybridMultilevel"/>
    <w:tmpl w:val="C0DA1A10"/>
    <w:lvl w:ilvl="0" w:tplc="D2603D36">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327979CD"/>
    <w:multiLevelType w:val="multilevel"/>
    <w:tmpl w:val="766A1BD0"/>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2D12FAE"/>
    <w:multiLevelType w:val="hybridMultilevel"/>
    <w:tmpl w:val="54BE5E66"/>
    <w:lvl w:ilvl="0" w:tplc="553AFCBC">
      <w:start w:val="1"/>
      <w:numFmt w:val="decimal"/>
      <w:lvlText w:val="%1."/>
      <w:lvlJc w:val="left"/>
      <w:pPr>
        <w:ind w:left="389" w:hanging="360"/>
      </w:pPr>
      <w:rPr>
        <w:rFonts w:ascii="GHEA Grapalat" w:eastAsia="Times New Roman" w:hAnsi="GHEA Grapalat" w:cs="Times New Roman" w:hint="default"/>
        <w:color w:val="273845"/>
        <w:sz w:val="20"/>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9" w15:restartNumberingAfterBreak="0">
    <w:nsid w:val="36F92583"/>
    <w:multiLevelType w:val="hybridMultilevel"/>
    <w:tmpl w:val="1F568A66"/>
    <w:lvl w:ilvl="0" w:tplc="7EAC0AA0">
      <w:start w:val="21"/>
      <w:numFmt w:val="decimal"/>
      <w:lvlText w:val="%1."/>
      <w:lvlJc w:val="left"/>
      <w:pPr>
        <w:ind w:left="1260" w:hanging="360"/>
      </w:pPr>
      <w:rPr>
        <w:rFonts w:cs="Sylfaen"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39E42FA6"/>
    <w:multiLevelType w:val="hybridMultilevel"/>
    <w:tmpl w:val="17E618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FE07EA"/>
    <w:multiLevelType w:val="hybridMultilevel"/>
    <w:tmpl w:val="3EC47762"/>
    <w:lvl w:ilvl="0" w:tplc="4C4EB10A">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41C60B5C"/>
    <w:multiLevelType w:val="hybridMultilevel"/>
    <w:tmpl w:val="4C40C206"/>
    <w:lvl w:ilvl="0" w:tplc="FEB632BE">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44227C78"/>
    <w:multiLevelType w:val="hybridMultilevel"/>
    <w:tmpl w:val="D1125D14"/>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9556E9"/>
    <w:multiLevelType w:val="hybridMultilevel"/>
    <w:tmpl w:val="AC84F0C2"/>
    <w:lvl w:ilvl="0" w:tplc="BF4A070C">
      <w:start w:val="1"/>
      <w:numFmt w:val="decimal"/>
      <w:lvlText w:val="%1."/>
      <w:lvlJc w:val="left"/>
      <w:pPr>
        <w:ind w:left="72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487404"/>
    <w:multiLevelType w:val="hybridMultilevel"/>
    <w:tmpl w:val="EDA2F8C0"/>
    <w:lvl w:ilvl="0" w:tplc="A1EEDA80">
      <w:start w:val="1"/>
      <w:numFmt w:val="decimal"/>
      <w:lvlText w:val="%1."/>
      <w:lvlJc w:val="left"/>
      <w:pPr>
        <w:ind w:left="720" w:hanging="360"/>
      </w:pPr>
      <w:rPr>
        <w:rFonts w:ascii="GHEA Grapalat" w:eastAsia="Times New Roman" w:hAnsi="GHEA Grapalat"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BF0C6B"/>
    <w:multiLevelType w:val="hybridMultilevel"/>
    <w:tmpl w:val="D4567D6E"/>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4"/>
  </w:num>
  <w:num w:numId="3">
    <w:abstractNumId w:val="6"/>
  </w:num>
  <w:num w:numId="4">
    <w:abstractNumId w:val="11"/>
  </w:num>
  <w:num w:numId="5">
    <w:abstractNumId w:val="0"/>
  </w:num>
  <w:num w:numId="6">
    <w:abstractNumId w:val="1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7"/>
  </w:num>
  <w:num w:numId="11">
    <w:abstractNumId w:val="9"/>
  </w:num>
  <w:num w:numId="12">
    <w:abstractNumId w:val="5"/>
  </w:num>
  <w:num w:numId="13">
    <w:abstractNumId w:val="4"/>
  </w:num>
  <w:num w:numId="14">
    <w:abstractNumId w:val="1"/>
  </w:num>
  <w:num w:numId="15">
    <w:abstractNumId w:val="15"/>
  </w:num>
  <w:num w:numId="16">
    <w:abstractNumId w:val="8"/>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B4E"/>
    <w:rsid w:val="00002EDE"/>
    <w:rsid w:val="00005984"/>
    <w:rsid w:val="000064F7"/>
    <w:rsid w:val="00006B24"/>
    <w:rsid w:val="0000741F"/>
    <w:rsid w:val="000074A3"/>
    <w:rsid w:val="000113C4"/>
    <w:rsid w:val="00012A27"/>
    <w:rsid w:val="000140EE"/>
    <w:rsid w:val="00024899"/>
    <w:rsid w:val="000266BF"/>
    <w:rsid w:val="00030DBB"/>
    <w:rsid w:val="000313BC"/>
    <w:rsid w:val="00035BA3"/>
    <w:rsid w:val="00036B70"/>
    <w:rsid w:val="00037013"/>
    <w:rsid w:val="00041347"/>
    <w:rsid w:val="00042B8B"/>
    <w:rsid w:val="0004338D"/>
    <w:rsid w:val="0004731B"/>
    <w:rsid w:val="00052A14"/>
    <w:rsid w:val="00053624"/>
    <w:rsid w:val="000603FF"/>
    <w:rsid w:val="0006095F"/>
    <w:rsid w:val="00063C97"/>
    <w:rsid w:val="00072AEB"/>
    <w:rsid w:val="00080C55"/>
    <w:rsid w:val="00084EC7"/>
    <w:rsid w:val="0008688D"/>
    <w:rsid w:val="000A32D7"/>
    <w:rsid w:val="000B3F28"/>
    <w:rsid w:val="000B5F35"/>
    <w:rsid w:val="000B6F3B"/>
    <w:rsid w:val="000C17B1"/>
    <w:rsid w:val="000C5C50"/>
    <w:rsid w:val="000D0FC3"/>
    <w:rsid w:val="000E2966"/>
    <w:rsid w:val="000E4690"/>
    <w:rsid w:val="000E545A"/>
    <w:rsid w:val="000E6AE1"/>
    <w:rsid w:val="000F0085"/>
    <w:rsid w:val="000F188C"/>
    <w:rsid w:val="000F2637"/>
    <w:rsid w:val="000F3C61"/>
    <w:rsid w:val="0010413D"/>
    <w:rsid w:val="001054EB"/>
    <w:rsid w:val="00110AC0"/>
    <w:rsid w:val="00110DC5"/>
    <w:rsid w:val="0011153E"/>
    <w:rsid w:val="00113F27"/>
    <w:rsid w:val="001171E2"/>
    <w:rsid w:val="00120400"/>
    <w:rsid w:val="001259A1"/>
    <w:rsid w:val="00126715"/>
    <w:rsid w:val="00126771"/>
    <w:rsid w:val="001272FD"/>
    <w:rsid w:val="001301E1"/>
    <w:rsid w:val="0015127E"/>
    <w:rsid w:val="00151F20"/>
    <w:rsid w:val="00152DB7"/>
    <w:rsid w:val="0015497E"/>
    <w:rsid w:val="00157921"/>
    <w:rsid w:val="0016064A"/>
    <w:rsid w:val="00175623"/>
    <w:rsid w:val="0018045B"/>
    <w:rsid w:val="00184EC0"/>
    <w:rsid w:val="00185676"/>
    <w:rsid w:val="0018726C"/>
    <w:rsid w:val="001909BF"/>
    <w:rsid w:val="00192E76"/>
    <w:rsid w:val="001934AE"/>
    <w:rsid w:val="00195AA8"/>
    <w:rsid w:val="001B5A41"/>
    <w:rsid w:val="001C003D"/>
    <w:rsid w:val="001C1AF9"/>
    <w:rsid w:val="001C243F"/>
    <w:rsid w:val="001D1353"/>
    <w:rsid w:val="001D3AC6"/>
    <w:rsid w:val="001D561A"/>
    <w:rsid w:val="001D7E69"/>
    <w:rsid w:val="001E596D"/>
    <w:rsid w:val="001E757B"/>
    <w:rsid w:val="001E7A42"/>
    <w:rsid w:val="001F6FDC"/>
    <w:rsid w:val="00206FF2"/>
    <w:rsid w:val="002100CF"/>
    <w:rsid w:val="00213030"/>
    <w:rsid w:val="00230AE2"/>
    <w:rsid w:val="00231A51"/>
    <w:rsid w:val="00232695"/>
    <w:rsid w:val="00240EE7"/>
    <w:rsid w:val="00241A8C"/>
    <w:rsid w:val="00241E09"/>
    <w:rsid w:val="00242ABA"/>
    <w:rsid w:val="002528EC"/>
    <w:rsid w:val="00260C94"/>
    <w:rsid w:val="00261DF8"/>
    <w:rsid w:val="00262B47"/>
    <w:rsid w:val="00263867"/>
    <w:rsid w:val="00266747"/>
    <w:rsid w:val="002742C0"/>
    <w:rsid w:val="00286C27"/>
    <w:rsid w:val="002914F6"/>
    <w:rsid w:val="00291A23"/>
    <w:rsid w:val="00292288"/>
    <w:rsid w:val="00295BB0"/>
    <w:rsid w:val="002B15E3"/>
    <w:rsid w:val="002B3C04"/>
    <w:rsid w:val="002B6802"/>
    <w:rsid w:val="002C0DC2"/>
    <w:rsid w:val="002C4D80"/>
    <w:rsid w:val="002D0F8C"/>
    <w:rsid w:val="002D4605"/>
    <w:rsid w:val="002E1A1C"/>
    <w:rsid w:val="002E6CB4"/>
    <w:rsid w:val="002F5034"/>
    <w:rsid w:val="00304DE9"/>
    <w:rsid w:val="0030753D"/>
    <w:rsid w:val="00314197"/>
    <w:rsid w:val="0031430C"/>
    <w:rsid w:val="00316F66"/>
    <w:rsid w:val="0032048F"/>
    <w:rsid w:val="003212E7"/>
    <w:rsid w:val="00330537"/>
    <w:rsid w:val="003318DE"/>
    <w:rsid w:val="00340640"/>
    <w:rsid w:val="00345D65"/>
    <w:rsid w:val="00347725"/>
    <w:rsid w:val="00354E0A"/>
    <w:rsid w:val="0036086F"/>
    <w:rsid w:val="00365227"/>
    <w:rsid w:val="00370612"/>
    <w:rsid w:val="003734CA"/>
    <w:rsid w:val="00373D3E"/>
    <w:rsid w:val="00377215"/>
    <w:rsid w:val="003817E2"/>
    <w:rsid w:val="003819C6"/>
    <w:rsid w:val="0038225F"/>
    <w:rsid w:val="00385137"/>
    <w:rsid w:val="00394287"/>
    <w:rsid w:val="0039434B"/>
    <w:rsid w:val="003978B6"/>
    <w:rsid w:val="003A2DF9"/>
    <w:rsid w:val="003B2753"/>
    <w:rsid w:val="003B38C1"/>
    <w:rsid w:val="003B6D75"/>
    <w:rsid w:val="003B7B1F"/>
    <w:rsid w:val="003C5664"/>
    <w:rsid w:val="003C5FB5"/>
    <w:rsid w:val="003D1CB8"/>
    <w:rsid w:val="003D3AC3"/>
    <w:rsid w:val="003D6582"/>
    <w:rsid w:val="003E0F18"/>
    <w:rsid w:val="003E0F7F"/>
    <w:rsid w:val="003E1F13"/>
    <w:rsid w:val="003E752F"/>
    <w:rsid w:val="003F2655"/>
    <w:rsid w:val="003F34AC"/>
    <w:rsid w:val="004014D3"/>
    <w:rsid w:val="004029FC"/>
    <w:rsid w:val="00406F67"/>
    <w:rsid w:val="0041157D"/>
    <w:rsid w:val="00417A2E"/>
    <w:rsid w:val="004216BE"/>
    <w:rsid w:val="00426781"/>
    <w:rsid w:val="00432922"/>
    <w:rsid w:val="00433809"/>
    <w:rsid w:val="004374BA"/>
    <w:rsid w:val="004443E2"/>
    <w:rsid w:val="004464C7"/>
    <w:rsid w:val="00460D04"/>
    <w:rsid w:val="0046235B"/>
    <w:rsid w:val="004637D0"/>
    <w:rsid w:val="004708E5"/>
    <w:rsid w:val="004727E4"/>
    <w:rsid w:val="00472A37"/>
    <w:rsid w:val="00474FF3"/>
    <w:rsid w:val="00476798"/>
    <w:rsid w:val="00485E95"/>
    <w:rsid w:val="00490362"/>
    <w:rsid w:val="004A3DCB"/>
    <w:rsid w:val="004B0514"/>
    <w:rsid w:val="004B5F9A"/>
    <w:rsid w:val="004B773F"/>
    <w:rsid w:val="004C07F4"/>
    <w:rsid w:val="004C0967"/>
    <w:rsid w:val="004C0B9C"/>
    <w:rsid w:val="004C78C1"/>
    <w:rsid w:val="004D17C1"/>
    <w:rsid w:val="004D5B59"/>
    <w:rsid w:val="004D6601"/>
    <w:rsid w:val="004E0C10"/>
    <w:rsid w:val="004E2652"/>
    <w:rsid w:val="004E5FF7"/>
    <w:rsid w:val="004E6126"/>
    <w:rsid w:val="004E71E7"/>
    <w:rsid w:val="004E7285"/>
    <w:rsid w:val="004F0365"/>
    <w:rsid w:val="004F0A4A"/>
    <w:rsid w:val="004F2B14"/>
    <w:rsid w:val="004F3C9A"/>
    <w:rsid w:val="004F56A8"/>
    <w:rsid w:val="004F75A7"/>
    <w:rsid w:val="005032A9"/>
    <w:rsid w:val="0050376E"/>
    <w:rsid w:val="00503F13"/>
    <w:rsid w:val="00507A60"/>
    <w:rsid w:val="00510D1B"/>
    <w:rsid w:val="00512BF3"/>
    <w:rsid w:val="00514FE9"/>
    <w:rsid w:val="005213E1"/>
    <w:rsid w:val="005325E1"/>
    <w:rsid w:val="00535997"/>
    <w:rsid w:val="00536527"/>
    <w:rsid w:val="005522EA"/>
    <w:rsid w:val="005550D3"/>
    <w:rsid w:val="00556119"/>
    <w:rsid w:val="00561CEA"/>
    <w:rsid w:val="005644DA"/>
    <w:rsid w:val="00564D62"/>
    <w:rsid w:val="005671ED"/>
    <w:rsid w:val="005679BD"/>
    <w:rsid w:val="00577EEB"/>
    <w:rsid w:val="00580496"/>
    <w:rsid w:val="00581581"/>
    <w:rsid w:val="005841A3"/>
    <w:rsid w:val="00591441"/>
    <w:rsid w:val="00594D95"/>
    <w:rsid w:val="00596C88"/>
    <w:rsid w:val="005A12BC"/>
    <w:rsid w:val="005A3E26"/>
    <w:rsid w:val="005A7633"/>
    <w:rsid w:val="005B121F"/>
    <w:rsid w:val="005B4009"/>
    <w:rsid w:val="005B66A1"/>
    <w:rsid w:val="005C0702"/>
    <w:rsid w:val="005D08F7"/>
    <w:rsid w:val="005D1AE0"/>
    <w:rsid w:val="005D2B84"/>
    <w:rsid w:val="005D588D"/>
    <w:rsid w:val="005E0466"/>
    <w:rsid w:val="005E259C"/>
    <w:rsid w:val="005E5426"/>
    <w:rsid w:val="005F06A7"/>
    <w:rsid w:val="005F1C7B"/>
    <w:rsid w:val="005F24AF"/>
    <w:rsid w:val="005F33FC"/>
    <w:rsid w:val="005F5C65"/>
    <w:rsid w:val="006107CE"/>
    <w:rsid w:val="006117EB"/>
    <w:rsid w:val="00616C02"/>
    <w:rsid w:val="00617BC8"/>
    <w:rsid w:val="0063118B"/>
    <w:rsid w:val="006412D7"/>
    <w:rsid w:val="00641F0C"/>
    <w:rsid w:val="006468B6"/>
    <w:rsid w:val="00650D80"/>
    <w:rsid w:val="00652381"/>
    <w:rsid w:val="006530A8"/>
    <w:rsid w:val="00653A18"/>
    <w:rsid w:val="00655CDC"/>
    <w:rsid w:val="00656FCE"/>
    <w:rsid w:val="00657F8E"/>
    <w:rsid w:val="00666D73"/>
    <w:rsid w:val="00673D6C"/>
    <w:rsid w:val="006827D6"/>
    <w:rsid w:val="006838E0"/>
    <w:rsid w:val="00694BD0"/>
    <w:rsid w:val="006968F2"/>
    <w:rsid w:val="006A0649"/>
    <w:rsid w:val="006A0C59"/>
    <w:rsid w:val="006C1C5B"/>
    <w:rsid w:val="006C5FB3"/>
    <w:rsid w:val="006D090E"/>
    <w:rsid w:val="006D1760"/>
    <w:rsid w:val="006D3324"/>
    <w:rsid w:val="006D6682"/>
    <w:rsid w:val="006E10F4"/>
    <w:rsid w:val="006E29D1"/>
    <w:rsid w:val="006F0DE1"/>
    <w:rsid w:val="006F16A0"/>
    <w:rsid w:val="006F285D"/>
    <w:rsid w:val="006F3213"/>
    <w:rsid w:val="006F34A1"/>
    <w:rsid w:val="00712B4E"/>
    <w:rsid w:val="0071787C"/>
    <w:rsid w:val="0072511A"/>
    <w:rsid w:val="007400D9"/>
    <w:rsid w:val="00740A70"/>
    <w:rsid w:val="007424CB"/>
    <w:rsid w:val="007455D7"/>
    <w:rsid w:val="00747D3F"/>
    <w:rsid w:val="00767425"/>
    <w:rsid w:val="0076793D"/>
    <w:rsid w:val="00772D56"/>
    <w:rsid w:val="00773AE2"/>
    <w:rsid w:val="00774FAE"/>
    <w:rsid w:val="00775B9C"/>
    <w:rsid w:val="0078014F"/>
    <w:rsid w:val="00780428"/>
    <w:rsid w:val="00782747"/>
    <w:rsid w:val="00786E39"/>
    <w:rsid w:val="00793C1C"/>
    <w:rsid w:val="0079758A"/>
    <w:rsid w:val="007A23E4"/>
    <w:rsid w:val="007B1EC5"/>
    <w:rsid w:val="007C12BF"/>
    <w:rsid w:val="007C7A48"/>
    <w:rsid w:val="007D3067"/>
    <w:rsid w:val="007D5963"/>
    <w:rsid w:val="007D692C"/>
    <w:rsid w:val="007D6CD3"/>
    <w:rsid w:val="007E0617"/>
    <w:rsid w:val="007E265D"/>
    <w:rsid w:val="007E3EDB"/>
    <w:rsid w:val="007F2566"/>
    <w:rsid w:val="007F6BB7"/>
    <w:rsid w:val="0080095F"/>
    <w:rsid w:val="008026E7"/>
    <w:rsid w:val="0080748F"/>
    <w:rsid w:val="00817614"/>
    <w:rsid w:val="0082192C"/>
    <w:rsid w:val="0082308D"/>
    <w:rsid w:val="00823A23"/>
    <w:rsid w:val="00823BD5"/>
    <w:rsid w:val="008328D8"/>
    <w:rsid w:val="00832E6D"/>
    <w:rsid w:val="0083695D"/>
    <w:rsid w:val="00837E7E"/>
    <w:rsid w:val="00850C7F"/>
    <w:rsid w:val="00850DB0"/>
    <w:rsid w:val="00851513"/>
    <w:rsid w:val="00855798"/>
    <w:rsid w:val="00855EC8"/>
    <w:rsid w:val="00860124"/>
    <w:rsid w:val="008611A3"/>
    <w:rsid w:val="008629FE"/>
    <w:rsid w:val="00863CFE"/>
    <w:rsid w:val="0086641F"/>
    <w:rsid w:val="00867E6C"/>
    <w:rsid w:val="00870FD0"/>
    <w:rsid w:val="00871B1A"/>
    <w:rsid w:val="008835B4"/>
    <w:rsid w:val="008854D3"/>
    <w:rsid w:val="00887549"/>
    <w:rsid w:val="00890FD8"/>
    <w:rsid w:val="00891F2A"/>
    <w:rsid w:val="00893B73"/>
    <w:rsid w:val="008A08A0"/>
    <w:rsid w:val="008A20D7"/>
    <w:rsid w:val="008A285B"/>
    <w:rsid w:val="008A6F9C"/>
    <w:rsid w:val="008A7B43"/>
    <w:rsid w:val="008C703E"/>
    <w:rsid w:val="008D21BD"/>
    <w:rsid w:val="008D3457"/>
    <w:rsid w:val="008E3015"/>
    <w:rsid w:val="008E334A"/>
    <w:rsid w:val="008F392F"/>
    <w:rsid w:val="0090133C"/>
    <w:rsid w:val="009033BE"/>
    <w:rsid w:val="00906E43"/>
    <w:rsid w:val="0091329D"/>
    <w:rsid w:val="009133D7"/>
    <w:rsid w:val="009158D9"/>
    <w:rsid w:val="00925308"/>
    <w:rsid w:val="009345B4"/>
    <w:rsid w:val="00936ADF"/>
    <w:rsid w:val="00950CDB"/>
    <w:rsid w:val="00957FBB"/>
    <w:rsid w:val="0096458F"/>
    <w:rsid w:val="00966C5C"/>
    <w:rsid w:val="00971031"/>
    <w:rsid w:val="0097151E"/>
    <w:rsid w:val="0097348E"/>
    <w:rsid w:val="009738D8"/>
    <w:rsid w:val="00992645"/>
    <w:rsid w:val="00992E7E"/>
    <w:rsid w:val="00995354"/>
    <w:rsid w:val="0099698F"/>
    <w:rsid w:val="00997433"/>
    <w:rsid w:val="00997849"/>
    <w:rsid w:val="009A182B"/>
    <w:rsid w:val="009A3DD6"/>
    <w:rsid w:val="009A44FA"/>
    <w:rsid w:val="009A6F69"/>
    <w:rsid w:val="009B4868"/>
    <w:rsid w:val="009C104E"/>
    <w:rsid w:val="009C111E"/>
    <w:rsid w:val="009C3396"/>
    <w:rsid w:val="009C5D79"/>
    <w:rsid w:val="009D2BD7"/>
    <w:rsid w:val="009D3023"/>
    <w:rsid w:val="009E69D1"/>
    <w:rsid w:val="009F01C7"/>
    <w:rsid w:val="009F1174"/>
    <w:rsid w:val="009F5068"/>
    <w:rsid w:val="009F6A8C"/>
    <w:rsid w:val="009F6D51"/>
    <w:rsid w:val="00A00F4C"/>
    <w:rsid w:val="00A01A4B"/>
    <w:rsid w:val="00A0474B"/>
    <w:rsid w:val="00A04876"/>
    <w:rsid w:val="00A1315E"/>
    <w:rsid w:val="00A37846"/>
    <w:rsid w:val="00A4242A"/>
    <w:rsid w:val="00A43E87"/>
    <w:rsid w:val="00A45FF9"/>
    <w:rsid w:val="00A47414"/>
    <w:rsid w:val="00A50C8C"/>
    <w:rsid w:val="00A51AD2"/>
    <w:rsid w:val="00A608D0"/>
    <w:rsid w:val="00A66EFA"/>
    <w:rsid w:val="00A700A7"/>
    <w:rsid w:val="00A762CF"/>
    <w:rsid w:val="00A90C85"/>
    <w:rsid w:val="00A93052"/>
    <w:rsid w:val="00A9499C"/>
    <w:rsid w:val="00AA04CB"/>
    <w:rsid w:val="00AA0EE0"/>
    <w:rsid w:val="00AA1164"/>
    <w:rsid w:val="00AA1569"/>
    <w:rsid w:val="00AA2332"/>
    <w:rsid w:val="00AA37B4"/>
    <w:rsid w:val="00AB1F40"/>
    <w:rsid w:val="00AB621C"/>
    <w:rsid w:val="00AC2AEA"/>
    <w:rsid w:val="00AC3197"/>
    <w:rsid w:val="00AC3BC2"/>
    <w:rsid w:val="00AC7CD5"/>
    <w:rsid w:val="00AD315D"/>
    <w:rsid w:val="00AD5004"/>
    <w:rsid w:val="00AD6ACC"/>
    <w:rsid w:val="00AF5F59"/>
    <w:rsid w:val="00AF667E"/>
    <w:rsid w:val="00B13538"/>
    <w:rsid w:val="00B15BBF"/>
    <w:rsid w:val="00B16A87"/>
    <w:rsid w:val="00B16CF9"/>
    <w:rsid w:val="00B22B5D"/>
    <w:rsid w:val="00B25A6A"/>
    <w:rsid w:val="00B2741F"/>
    <w:rsid w:val="00B275F5"/>
    <w:rsid w:val="00B35AC9"/>
    <w:rsid w:val="00B364FC"/>
    <w:rsid w:val="00B4001A"/>
    <w:rsid w:val="00B407D1"/>
    <w:rsid w:val="00B43700"/>
    <w:rsid w:val="00B439D2"/>
    <w:rsid w:val="00B4705D"/>
    <w:rsid w:val="00B4744C"/>
    <w:rsid w:val="00B5164C"/>
    <w:rsid w:val="00B52B69"/>
    <w:rsid w:val="00B52D83"/>
    <w:rsid w:val="00B5385F"/>
    <w:rsid w:val="00B620CB"/>
    <w:rsid w:val="00B66433"/>
    <w:rsid w:val="00B678E2"/>
    <w:rsid w:val="00B71900"/>
    <w:rsid w:val="00B7253D"/>
    <w:rsid w:val="00B76615"/>
    <w:rsid w:val="00B82AC3"/>
    <w:rsid w:val="00B847C8"/>
    <w:rsid w:val="00B857D3"/>
    <w:rsid w:val="00B87DB6"/>
    <w:rsid w:val="00B931AD"/>
    <w:rsid w:val="00B97E08"/>
    <w:rsid w:val="00BA008B"/>
    <w:rsid w:val="00BA7C33"/>
    <w:rsid w:val="00BB0A91"/>
    <w:rsid w:val="00BB6F66"/>
    <w:rsid w:val="00BB7EAC"/>
    <w:rsid w:val="00BC0A84"/>
    <w:rsid w:val="00BC2885"/>
    <w:rsid w:val="00BC6541"/>
    <w:rsid w:val="00BD5F09"/>
    <w:rsid w:val="00BD7A85"/>
    <w:rsid w:val="00BE2CE1"/>
    <w:rsid w:val="00BE75CE"/>
    <w:rsid w:val="00BF2D90"/>
    <w:rsid w:val="00C05892"/>
    <w:rsid w:val="00C10A58"/>
    <w:rsid w:val="00C12AFD"/>
    <w:rsid w:val="00C17939"/>
    <w:rsid w:val="00C31148"/>
    <w:rsid w:val="00C32492"/>
    <w:rsid w:val="00C406C3"/>
    <w:rsid w:val="00C44EFF"/>
    <w:rsid w:val="00C47D12"/>
    <w:rsid w:val="00C52174"/>
    <w:rsid w:val="00C56D31"/>
    <w:rsid w:val="00C63650"/>
    <w:rsid w:val="00C73444"/>
    <w:rsid w:val="00C740B4"/>
    <w:rsid w:val="00C80CB9"/>
    <w:rsid w:val="00C93FE0"/>
    <w:rsid w:val="00C949E0"/>
    <w:rsid w:val="00CA155B"/>
    <w:rsid w:val="00CA1804"/>
    <w:rsid w:val="00CA459B"/>
    <w:rsid w:val="00CA4A9C"/>
    <w:rsid w:val="00CB2E0C"/>
    <w:rsid w:val="00CB5354"/>
    <w:rsid w:val="00CB5B55"/>
    <w:rsid w:val="00CB61B8"/>
    <w:rsid w:val="00CC0A2C"/>
    <w:rsid w:val="00CC210D"/>
    <w:rsid w:val="00CC2CD0"/>
    <w:rsid w:val="00CC7EC3"/>
    <w:rsid w:val="00CD0674"/>
    <w:rsid w:val="00CD10F8"/>
    <w:rsid w:val="00CE0557"/>
    <w:rsid w:val="00CF2139"/>
    <w:rsid w:val="00CF55B6"/>
    <w:rsid w:val="00D2365B"/>
    <w:rsid w:val="00D24E40"/>
    <w:rsid w:val="00D30658"/>
    <w:rsid w:val="00D30F27"/>
    <w:rsid w:val="00D349A4"/>
    <w:rsid w:val="00D464FD"/>
    <w:rsid w:val="00D5403F"/>
    <w:rsid w:val="00D56942"/>
    <w:rsid w:val="00D575B4"/>
    <w:rsid w:val="00D62463"/>
    <w:rsid w:val="00D81D23"/>
    <w:rsid w:val="00D823A8"/>
    <w:rsid w:val="00D83CF0"/>
    <w:rsid w:val="00D941C1"/>
    <w:rsid w:val="00DA051A"/>
    <w:rsid w:val="00DA2B9C"/>
    <w:rsid w:val="00DA4783"/>
    <w:rsid w:val="00DB7BE6"/>
    <w:rsid w:val="00DD0823"/>
    <w:rsid w:val="00DD3501"/>
    <w:rsid w:val="00DD350E"/>
    <w:rsid w:val="00DE7549"/>
    <w:rsid w:val="00DF68F3"/>
    <w:rsid w:val="00E0395B"/>
    <w:rsid w:val="00E178D4"/>
    <w:rsid w:val="00E20059"/>
    <w:rsid w:val="00E23641"/>
    <w:rsid w:val="00E3013B"/>
    <w:rsid w:val="00E34516"/>
    <w:rsid w:val="00E34B8B"/>
    <w:rsid w:val="00E507D9"/>
    <w:rsid w:val="00E5124F"/>
    <w:rsid w:val="00E744C5"/>
    <w:rsid w:val="00E84055"/>
    <w:rsid w:val="00E930F6"/>
    <w:rsid w:val="00E97AB0"/>
    <w:rsid w:val="00EA14B8"/>
    <w:rsid w:val="00EA1AA0"/>
    <w:rsid w:val="00EA3DA8"/>
    <w:rsid w:val="00EA4660"/>
    <w:rsid w:val="00EA4EC7"/>
    <w:rsid w:val="00EA504D"/>
    <w:rsid w:val="00EB0163"/>
    <w:rsid w:val="00EB026B"/>
    <w:rsid w:val="00EB2669"/>
    <w:rsid w:val="00EB417F"/>
    <w:rsid w:val="00EB5029"/>
    <w:rsid w:val="00EC1737"/>
    <w:rsid w:val="00EC2121"/>
    <w:rsid w:val="00EE629A"/>
    <w:rsid w:val="00EE6478"/>
    <w:rsid w:val="00EE666E"/>
    <w:rsid w:val="00F147BD"/>
    <w:rsid w:val="00F172FF"/>
    <w:rsid w:val="00F266B5"/>
    <w:rsid w:val="00F3135D"/>
    <w:rsid w:val="00F321F6"/>
    <w:rsid w:val="00F3578A"/>
    <w:rsid w:val="00F37324"/>
    <w:rsid w:val="00F50EA8"/>
    <w:rsid w:val="00F52AE7"/>
    <w:rsid w:val="00F53425"/>
    <w:rsid w:val="00F54F67"/>
    <w:rsid w:val="00F559A8"/>
    <w:rsid w:val="00F576BB"/>
    <w:rsid w:val="00F60D7E"/>
    <w:rsid w:val="00F62B37"/>
    <w:rsid w:val="00F64289"/>
    <w:rsid w:val="00F97938"/>
    <w:rsid w:val="00FA0524"/>
    <w:rsid w:val="00FA4100"/>
    <w:rsid w:val="00FB2745"/>
    <w:rsid w:val="00FB37D8"/>
    <w:rsid w:val="00FC330E"/>
    <w:rsid w:val="00FC410F"/>
    <w:rsid w:val="00FD1D58"/>
    <w:rsid w:val="00FD26D7"/>
    <w:rsid w:val="00FD7233"/>
    <w:rsid w:val="00FF1387"/>
    <w:rsid w:val="00FF48D7"/>
    <w:rsid w:val="00FF5762"/>
    <w:rsid w:val="00FF7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89AA6"/>
  <w15:docId w15:val="{542634CD-109B-45C0-A22A-B8AD553A1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624"/>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362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3624"/>
    <w:pPr>
      <w:ind w:left="720"/>
      <w:contextualSpacing/>
    </w:pPr>
  </w:style>
  <w:style w:type="paragraph" w:styleId="BalloonText">
    <w:name w:val="Balloon Text"/>
    <w:basedOn w:val="Normal"/>
    <w:link w:val="BalloonTextChar"/>
    <w:uiPriority w:val="99"/>
    <w:semiHidden/>
    <w:unhideWhenUsed/>
    <w:rsid w:val="000536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3624"/>
    <w:rPr>
      <w:rFonts w:ascii="Segoe UI" w:hAnsi="Segoe UI" w:cs="Segoe UI"/>
      <w:sz w:val="18"/>
      <w:szCs w:val="18"/>
      <w:lang w:val="en-US"/>
    </w:rPr>
  </w:style>
  <w:style w:type="paragraph" w:customStyle="1" w:styleId="Default">
    <w:name w:val="Default"/>
    <w:rsid w:val="00053624"/>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Strong">
    <w:name w:val="Strong"/>
    <w:basedOn w:val="DefaultParagraphFont"/>
    <w:uiPriority w:val="22"/>
    <w:qFormat/>
    <w:rsid w:val="00175623"/>
    <w:rPr>
      <w:b/>
      <w:bCs/>
    </w:rPr>
  </w:style>
  <w:style w:type="paragraph" w:styleId="Header">
    <w:name w:val="header"/>
    <w:basedOn w:val="Normal"/>
    <w:link w:val="HeaderChar"/>
    <w:uiPriority w:val="99"/>
    <w:unhideWhenUsed/>
    <w:rsid w:val="00995354"/>
    <w:pPr>
      <w:tabs>
        <w:tab w:val="center" w:pos="4677"/>
        <w:tab w:val="right" w:pos="9355"/>
      </w:tabs>
      <w:spacing w:after="0" w:line="240" w:lineRule="auto"/>
    </w:pPr>
  </w:style>
  <w:style w:type="character" w:customStyle="1" w:styleId="HeaderChar">
    <w:name w:val="Header Char"/>
    <w:basedOn w:val="DefaultParagraphFont"/>
    <w:link w:val="Header"/>
    <w:uiPriority w:val="99"/>
    <w:rsid w:val="00995354"/>
    <w:rPr>
      <w:lang w:val="en-US"/>
    </w:rPr>
  </w:style>
  <w:style w:type="paragraph" w:styleId="Footer">
    <w:name w:val="footer"/>
    <w:basedOn w:val="Normal"/>
    <w:link w:val="FooterChar"/>
    <w:uiPriority w:val="99"/>
    <w:unhideWhenUsed/>
    <w:rsid w:val="00995354"/>
    <w:pPr>
      <w:tabs>
        <w:tab w:val="center" w:pos="4677"/>
        <w:tab w:val="right" w:pos="9355"/>
      </w:tabs>
      <w:spacing w:after="0" w:line="240" w:lineRule="auto"/>
    </w:pPr>
  </w:style>
  <w:style w:type="character" w:customStyle="1" w:styleId="FooterChar">
    <w:name w:val="Footer Char"/>
    <w:basedOn w:val="DefaultParagraphFont"/>
    <w:link w:val="Footer"/>
    <w:uiPriority w:val="99"/>
    <w:rsid w:val="00995354"/>
    <w:rPr>
      <w:lang w:val="en-US"/>
    </w:rPr>
  </w:style>
  <w:style w:type="paragraph" w:styleId="NormalWeb">
    <w:name w:val="Normal (Web)"/>
    <w:basedOn w:val="Normal"/>
    <w:uiPriority w:val="99"/>
    <w:unhideWhenUsed/>
    <w:rsid w:val="001D135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9D2BD7"/>
  </w:style>
  <w:style w:type="character" w:styleId="SubtleReference">
    <w:name w:val="Subtle Reference"/>
    <w:basedOn w:val="DefaultParagraphFont"/>
    <w:uiPriority w:val="31"/>
    <w:qFormat/>
    <w:rsid w:val="00C63650"/>
    <w:rPr>
      <w:smallCaps/>
      <w:color w:val="5A5A5A" w:themeColor="text1" w:themeTint="A5"/>
    </w:rPr>
  </w:style>
  <w:style w:type="character" w:styleId="CommentReference">
    <w:name w:val="annotation reference"/>
    <w:basedOn w:val="DefaultParagraphFont"/>
    <w:uiPriority w:val="99"/>
    <w:semiHidden/>
    <w:unhideWhenUsed/>
    <w:rsid w:val="006C1C5B"/>
    <w:rPr>
      <w:sz w:val="16"/>
      <w:szCs w:val="16"/>
    </w:rPr>
  </w:style>
  <w:style w:type="paragraph" w:styleId="CommentText">
    <w:name w:val="annotation text"/>
    <w:basedOn w:val="Normal"/>
    <w:link w:val="CommentTextChar"/>
    <w:uiPriority w:val="99"/>
    <w:semiHidden/>
    <w:unhideWhenUsed/>
    <w:rsid w:val="006C1C5B"/>
    <w:pPr>
      <w:spacing w:line="240" w:lineRule="auto"/>
    </w:pPr>
    <w:rPr>
      <w:sz w:val="20"/>
      <w:szCs w:val="20"/>
    </w:rPr>
  </w:style>
  <w:style w:type="character" w:customStyle="1" w:styleId="CommentTextChar">
    <w:name w:val="Comment Text Char"/>
    <w:basedOn w:val="DefaultParagraphFont"/>
    <w:link w:val="CommentText"/>
    <w:uiPriority w:val="99"/>
    <w:semiHidden/>
    <w:rsid w:val="006C1C5B"/>
    <w:rPr>
      <w:sz w:val="20"/>
      <w:szCs w:val="20"/>
      <w:lang w:val="en-US"/>
    </w:rPr>
  </w:style>
  <w:style w:type="paragraph" w:styleId="CommentSubject">
    <w:name w:val="annotation subject"/>
    <w:basedOn w:val="CommentText"/>
    <w:next w:val="CommentText"/>
    <w:link w:val="CommentSubjectChar"/>
    <w:uiPriority w:val="99"/>
    <w:semiHidden/>
    <w:unhideWhenUsed/>
    <w:rsid w:val="006C1C5B"/>
    <w:rPr>
      <w:b/>
      <w:bCs/>
    </w:rPr>
  </w:style>
  <w:style w:type="character" w:customStyle="1" w:styleId="CommentSubjectChar">
    <w:name w:val="Comment Subject Char"/>
    <w:basedOn w:val="CommentTextChar"/>
    <w:link w:val="CommentSubject"/>
    <w:uiPriority w:val="99"/>
    <w:semiHidden/>
    <w:rsid w:val="006C1C5B"/>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823901">
      <w:bodyDiv w:val="1"/>
      <w:marLeft w:val="0"/>
      <w:marRight w:val="0"/>
      <w:marTop w:val="0"/>
      <w:marBottom w:val="0"/>
      <w:divBdr>
        <w:top w:val="none" w:sz="0" w:space="0" w:color="auto"/>
        <w:left w:val="none" w:sz="0" w:space="0" w:color="auto"/>
        <w:bottom w:val="none" w:sz="0" w:space="0" w:color="auto"/>
        <w:right w:val="none" w:sz="0" w:space="0" w:color="auto"/>
      </w:divBdr>
    </w:div>
    <w:div w:id="929965283">
      <w:bodyDiv w:val="1"/>
      <w:marLeft w:val="0"/>
      <w:marRight w:val="0"/>
      <w:marTop w:val="0"/>
      <w:marBottom w:val="0"/>
      <w:divBdr>
        <w:top w:val="none" w:sz="0" w:space="0" w:color="auto"/>
        <w:left w:val="none" w:sz="0" w:space="0" w:color="auto"/>
        <w:bottom w:val="none" w:sz="0" w:space="0" w:color="auto"/>
        <w:right w:val="none" w:sz="0" w:space="0" w:color="auto"/>
      </w:divBdr>
    </w:div>
    <w:div w:id="1138642994">
      <w:bodyDiv w:val="1"/>
      <w:marLeft w:val="0"/>
      <w:marRight w:val="0"/>
      <w:marTop w:val="0"/>
      <w:marBottom w:val="0"/>
      <w:divBdr>
        <w:top w:val="none" w:sz="0" w:space="0" w:color="auto"/>
        <w:left w:val="none" w:sz="0" w:space="0" w:color="auto"/>
        <w:bottom w:val="none" w:sz="0" w:space="0" w:color="auto"/>
        <w:right w:val="none" w:sz="0" w:space="0" w:color="auto"/>
      </w:divBdr>
    </w:div>
    <w:div w:id="156961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C8BD6-700A-4B2F-A7A7-D35685710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30</Pages>
  <Words>5767</Words>
  <Characters>32873</Characters>
  <Application>Microsoft Office Word</Application>
  <DocSecurity>0</DocSecurity>
  <Lines>273</Lines>
  <Paragraphs>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Hovhannes</cp:lastModifiedBy>
  <cp:revision>37</cp:revision>
  <cp:lastPrinted>2020-09-10T12:32:00Z</cp:lastPrinted>
  <dcterms:created xsi:type="dcterms:W3CDTF">2020-09-09T08:05:00Z</dcterms:created>
  <dcterms:modified xsi:type="dcterms:W3CDTF">2020-09-11T13:33:00Z</dcterms:modified>
</cp:coreProperties>
</file>