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0"/>
      </w:tblGrid>
      <w:tr w:rsidR="006A4614" w:rsidRPr="0024161A" w:rsidTr="00FE7837">
        <w:trPr>
          <w:trHeight w:val="14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6B302D" w:rsidRDefault="006A4614" w:rsidP="006A4614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1. ՏԵՂԵԿԱՆՔ</w:t>
            </w:r>
          </w:p>
          <w:p w:rsidR="006A4614" w:rsidRPr="00070BD6" w:rsidRDefault="006A4614" w:rsidP="00070BD6">
            <w:pPr>
              <w:ind w:right="23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2017-2036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թվականների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կոշտ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կենցաղային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թափոնների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համակարգի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զարգացման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ռազմավարությանը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հավանություն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տալու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բյուջեում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և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տեղական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ինքնակառավարման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մարմինների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բյուջեներում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</w:tc>
      </w:tr>
      <w:tr w:rsidR="006A4614" w:rsidRPr="0024161A" w:rsidTr="00FE7837">
        <w:trPr>
          <w:trHeight w:val="107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24161A" w:rsidRDefault="006A4614" w:rsidP="00070BD6">
            <w:pPr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70BD6">
              <w:rPr>
                <w:rFonts w:ascii="GHEA Grapalat" w:hAnsi="GHEA Grapalat"/>
                <w:b/>
                <w:sz w:val="24"/>
                <w:szCs w:val="24"/>
              </w:rPr>
              <w:t xml:space="preserve">    </w:t>
            </w:r>
            <w:r w:rsidRPr="00070BD6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2017-2036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թվականների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կոշտ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կենցաղային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թափոնների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համակարգի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ռազմավարությանը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հավանություն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տալու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070BD6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24161A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2416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4161A">
              <w:rPr>
                <w:rFonts w:ascii="GHEA Grapalat" w:hAnsi="GHEA Grapalat" w:cs="Tahoma"/>
                <w:sz w:val="24"/>
                <w:szCs w:val="24"/>
              </w:rPr>
              <w:t>ՀՀ</w:t>
            </w:r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և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տեղական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ինքնակառավարման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մարմինների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բյուջեներում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ծախսերի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4161A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էական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կամ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6B302D" w:rsidRDefault="006A4614" w:rsidP="00FE7837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                                                     2. ՏԵՂԵԿԱՆՔ</w:t>
            </w:r>
          </w:p>
          <w:p w:rsidR="006A4614" w:rsidRPr="006B302D" w:rsidRDefault="006A4614" w:rsidP="003F7C0C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2017-2036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թվականների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կոշտ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կենցաղային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թափոնների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համակարգի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զարգացման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ռազմավարությանը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հավանություն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տալու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="003F7C0C">
              <w:rPr>
                <w:rFonts w:ascii="GHEA Grapalat" w:hAnsi="GHEA Grapalat" w:cs="Tahoma"/>
                <w:b/>
                <w:sz w:val="24"/>
                <w:szCs w:val="24"/>
              </w:rPr>
              <w:t>: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382D3C" w:rsidRDefault="006A4614" w:rsidP="00070BD6">
            <w:pPr>
              <w:jc w:val="both"/>
              <w:rPr>
                <w:rFonts w:ascii="GHEA Grapalat" w:hAnsi="GHEA Grapalat" w:cs="Arial Armenian"/>
                <w:sz w:val="24"/>
                <w:szCs w:val="24"/>
              </w:rPr>
            </w:pPr>
            <w:r w:rsidRPr="00070BD6">
              <w:rPr>
                <w:rFonts w:ascii="GHEA Grapalat" w:hAnsi="GHEA Grapalat"/>
                <w:sz w:val="24"/>
                <w:szCs w:val="24"/>
              </w:rPr>
              <w:t xml:space="preserve">      «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2017-2036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թվականների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կոշտ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կենցաղային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թափոնների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համակարգի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ռազմավարությանը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հավանություն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տալու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="00070BD6" w:rsidRPr="00070BD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070BD6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070BD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070BD6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F46FCE"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proofErr w:type="spellEnd"/>
            <w:r w:rsidR="00F46FCE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F46FCE">
              <w:rPr>
                <w:rFonts w:ascii="GHEA Grapalat" w:hAnsi="GHEA Grapalat" w:cs="Tahoma"/>
                <w:sz w:val="24"/>
                <w:szCs w:val="24"/>
              </w:rPr>
              <w:t>ենթադրում</w:t>
            </w:r>
            <w:proofErr w:type="spellEnd"/>
            <w:r w:rsidR="00F46FCE">
              <w:rPr>
                <w:rFonts w:ascii="GHEA Grapalat" w:hAnsi="GHEA Grapalat" w:cs="Tahoma"/>
                <w:sz w:val="24"/>
                <w:szCs w:val="24"/>
              </w:rPr>
              <w:t xml:space="preserve"> է </w:t>
            </w:r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>Թափոնների</w:t>
            </w:r>
            <w:proofErr w:type="spellEnd"/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և </w:t>
            </w:r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>Աղբահանության</w:t>
            </w:r>
            <w:proofErr w:type="spellEnd"/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>սանիտարական</w:t>
            </w:r>
            <w:proofErr w:type="spellEnd"/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>մաքրման</w:t>
            </w:r>
            <w:proofErr w:type="spellEnd"/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F46FCE" w:rsidRPr="00F46FCE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>Հայաստանի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>Հարապետության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>օրենքների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>ներդաշնակեցում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, </w:t>
            </w:r>
            <w:proofErr w:type="spellStart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>կամ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>համապատասխան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իրավակարգավորումների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իրականացում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>նոր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>օրենքի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>միջոցով</w:t>
            </w:r>
            <w:proofErr w:type="spellEnd"/>
            <w:r w:rsidR="00F46FCE" w:rsidRPr="00F46FCE">
              <w:rPr>
                <w:rFonts w:ascii="GHEA Grapalat" w:hAnsi="GHEA Grapalat" w:cs="Arial Armenian"/>
                <w:b/>
                <w:sz w:val="24"/>
                <w:szCs w:val="24"/>
              </w:rPr>
              <w:t>:</w:t>
            </w:r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>Փոփոխությունները</w:t>
            </w:r>
            <w:proofErr w:type="spellEnd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, ի </w:t>
            </w:r>
            <w:proofErr w:type="spellStart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>թիվս</w:t>
            </w:r>
            <w:proofErr w:type="spellEnd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>այլնի</w:t>
            </w:r>
            <w:proofErr w:type="spellEnd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>պետք</w:t>
            </w:r>
            <w:proofErr w:type="spellEnd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է </w:t>
            </w:r>
            <w:proofErr w:type="spellStart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>երաշխավորեն</w:t>
            </w:r>
            <w:proofErr w:type="spellEnd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ԿԿԹԱԳ </w:t>
            </w:r>
            <w:proofErr w:type="spellStart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>կազմի</w:t>
            </w:r>
            <w:proofErr w:type="spellEnd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>գործառույթների</w:t>
            </w:r>
            <w:proofErr w:type="spellEnd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>օրեսդրական</w:t>
            </w:r>
            <w:proofErr w:type="spellEnd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F46FCE">
              <w:rPr>
                <w:rFonts w:ascii="GHEA Grapalat" w:hAnsi="GHEA Grapalat" w:cs="Arial Armenian"/>
                <w:b/>
                <w:sz w:val="24"/>
                <w:szCs w:val="24"/>
              </w:rPr>
              <w:t>ամրագրումը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: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Օրենսդրորեն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անհրաժեշտ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է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սահմանել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,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որ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1.սանիտարական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աղբավայրեր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կարող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են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կառուցվել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միայն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ՀՀ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Կառավարության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որոշմամբ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, 2.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աղբահանության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համար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իրավաբանական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անձանց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կողմից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վճարվող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բնապահպանական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վճարներն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ուղղվում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են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ԿԿԹԿ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համակարգի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պահպանմանն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ու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արդիականացմանը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, 3.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կոշտ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կենցաղային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թափոնները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չեն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կարող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դասակարգվել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որպես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վտանգավոր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թափոններ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կամ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չորրորդ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դասի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վտանգավոր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թափոններ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:</w:t>
            </w:r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Դրանց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հավաքման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տեղադրման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նկատմամբ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պայմանները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պետք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է </w:t>
            </w:r>
            <w:proofErr w:type="spellStart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մեղմվեն</w:t>
            </w:r>
            <w:proofErr w:type="spellEnd"/>
            <w:r w:rsidR="003F7C0C">
              <w:rPr>
                <w:rFonts w:ascii="GHEA Grapalat" w:hAnsi="GHEA Grapalat" w:cs="Arial Armenian"/>
                <w:b/>
                <w:sz w:val="24"/>
                <w:szCs w:val="24"/>
              </w:rPr>
              <w:t>:</w:t>
            </w:r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br/>
              <w:t xml:space="preserve">Ի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թիվս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այլ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իրավական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ակտերի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անհրաժեշտ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են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փոփոխություններ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>նաև</w:t>
            </w:r>
            <w:proofErr w:type="spellEnd"/>
            <w:r w:rsid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382D3C" w:rsidRPr="00382D3C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="00382D3C" w:rsidRPr="00382D3C">
              <w:rPr>
                <w:rFonts w:ascii="GHEA Grapalat" w:hAnsi="GHEA Grapalat"/>
                <w:b/>
                <w:sz w:val="24"/>
                <w:szCs w:val="24"/>
              </w:rPr>
              <w:t>Ավելացված</w:t>
            </w:r>
            <w:proofErr w:type="spellEnd"/>
            <w:r w:rsidR="00382D3C" w:rsidRPr="00382D3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/>
                <w:b/>
                <w:sz w:val="24"/>
                <w:szCs w:val="24"/>
              </w:rPr>
              <w:t>արժեքի</w:t>
            </w:r>
            <w:proofErr w:type="spellEnd"/>
            <w:r w:rsidR="00382D3C" w:rsidRPr="00382D3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/>
                <w:b/>
                <w:sz w:val="24"/>
                <w:szCs w:val="24"/>
              </w:rPr>
              <w:t>հարկի</w:t>
            </w:r>
            <w:proofErr w:type="spellEnd"/>
            <w:r w:rsidR="00382D3C" w:rsidRPr="00382D3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Հայաստանի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Հանրապետության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օրենքում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,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որոնցով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,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ոռոգման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ջրի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մատակարարման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,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հուղարկավորության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ծառայությունների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մատուցման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`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աահ-ից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ազատելու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տրամաբանությամբ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,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աահ-ից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կազատվեն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նաև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աղբահանության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ծառայությունները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: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Փոփոխություններ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են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անհրաժեշտ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նաև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Վարչական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իրավախախտումների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օրենսգրքում</w:t>
            </w:r>
            <w:proofErr w:type="spellEnd"/>
            <w:r w:rsidR="00382D3C" w:rsidRPr="00382D3C">
              <w:rPr>
                <w:rFonts w:ascii="GHEA Grapalat" w:hAnsi="GHEA Grapalat" w:cs="Arial Armenian"/>
                <w:b/>
                <w:sz w:val="24"/>
                <w:szCs w:val="24"/>
              </w:rPr>
              <w:t>:</w:t>
            </w:r>
            <w:r w:rsidR="00382D3C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6B302D" w:rsidRDefault="006A4614" w:rsidP="00070BD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                                                    3. ՏԵՂԵԿԱՆՔ</w:t>
            </w:r>
          </w:p>
          <w:p w:rsidR="006A4614" w:rsidRPr="006B302D" w:rsidRDefault="006A4614" w:rsidP="00070BD6">
            <w:pPr>
              <w:jc w:val="both"/>
              <w:rPr>
                <w:rFonts w:ascii="GHEA Grapalat" w:hAnsi="GHEA Grapalat" w:cs="Arial Armenian"/>
                <w:b/>
                <w:sz w:val="24"/>
                <w:szCs w:val="24"/>
              </w:rPr>
            </w:pP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Միջազգային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պայմանագրերով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ստանձնած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պարտավորություններին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«</w:t>
            </w:r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2017-2036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թվականների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կոշտ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կենցաղային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թափոնների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համակարգի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զարգացման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ռազմավարությանը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հավանություն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տալու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="00070BD6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համապատասխանության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 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24161A" w:rsidRDefault="006A4614" w:rsidP="00070BD6">
            <w:pPr>
              <w:tabs>
                <w:tab w:val="left" w:pos="720"/>
              </w:tabs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24161A">
              <w:rPr>
                <w:rFonts w:ascii="GHEA Grapalat" w:hAnsi="GHEA Grapalat"/>
                <w:sz w:val="24"/>
                <w:szCs w:val="24"/>
              </w:rPr>
              <w:t xml:space="preserve">        </w:t>
            </w:r>
            <w:r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2017-2036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թվականների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կոշտ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կենցաղային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թափոնների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համակարգի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ռազմավարությանը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հավանություն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տալու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070BD6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24161A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նախագիծը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հակասում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միջազգային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պայմանագրերով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ստանձնած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պարտավորություններին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6B302D" w:rsidRDefault="006A4614" w:rsidP="00070BD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 4. ՏԵՂԵԿԱՆՔ</w:t>
            </w:r>
          </w:p>
          <w:p w:rsidR="006A4614" w:rsidRPr="006B302D" w:rsidRDefault="006A4614" w:rsidP="00070BD6">
            <w:pPr>
              <w:jc w:val="both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2017-2036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թվականների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կոշտ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կենցաղային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թափոնների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համակարգի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զարգացման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ռազմավարությանը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հավանություն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տալու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="00070BD6"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կազմմանը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և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քննարկմանը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հասարակության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մասնակցության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070BD6" w:rsidRDefault="006A4614" w:rsidP="003F7C0C">
            <w:pPr>
              <w:tabs>
                <w:tab w:val="left" w:pos="9800"/>
              </w:tabs>
              <w:ind w:right="309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24161A">
              <w:rPr>
                <w:rFonts w:ascii="GHEA Grapalat" w:hAnsi="GHEA Grapalat"/>
                <w:sz w:val="24"/>
                <w:szCs w:val="24"/>
              </w:rPr>
              <w:t xml:space="preserve">        </w:t>
            </w:r>
            <w:r w:rsidR="00EF2E15" w:rsidRPr="00070BD6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2017-2036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թվականների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կոշտ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կենցաղային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թափոնների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համակարգի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ռազմավարությանը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հավանություն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տալու</w:t>
            </w:r>
            <w:proofErr w:type="spellEnd"/>
            <w:r w:rsidR="00070BD6" w:rsidRPr="00070B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0BD6" w:rsidRPr="00070BD6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="00EF2E15" w:rsidRPr="00070BD6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="00EF2E15" w:rsidRPr="00070BD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070BD6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070BD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070BD6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070BD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070BD6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070BD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070BD6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070BD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070BD6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070BD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070BD6">
              <w:rPr>
                <w:rFonts w:ascii="GHEA Grapalat" w:hAnsi="GHEA Grapalat" w:cs="Tahoma"/>
                <w:sz w:val="24"/>
                <w:szCs w:val="24"/>
              </w:rPr>
              <w:t>կազմմանը</w:t>
            </w:r>
            <w:proofErr w:type="spellEnd"/>
            <w:r w:rsidRPr="00070BD6">
              <w:rPr>
                <w:rFonts w:ascii="GHEA Grapalat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070BD6">
              <w:rPr>
                <w:rFonts w:ascii="GHEA Grapalat" w:hAnsi="GHEA Grapalat" w:cs="Tahoma"/>
                <w:sz w:val="24"/>
                <w:szCs w:val="24"/>
              </w:rPr>
              <w:t>քննարկմանը</w:t>
            </w:r>
            <w:proofErr w:type="spellEnd"/>
            <w:r w:rsidRPr="00070BD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Tahoma"/>
                <w:sz w:val="24"/>
                <w:szCs w:val="24"/>
              </w:rPr>
              <w:t>մասնակցել</w:t>
            </w:r>
            <w:proofErr w:type="spellEnd"/>
            <w:r w:rsidR="003F7C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Tahoma"/>
                <w:sz w:val="24"/>
                <w:szCs w:val="24"/>
              </w:rPr>
              <w:t>են</w:t>
            </w:r>
            <w:proofErr w:type="spellEnd"/>
            <w:r w:rsidR="003F7C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Tahoma"/>
                <w:sz w:val="24"/>
                <w:szCs w:val="24"/>
              </w:rPr>
              <w:t>բնապահպանական</w:t>
            </w:r>
            <w:proofErr w:type="spellEnd"/>
            <w:r w:rsidR="003F7C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Tahoma"/>
                <w:sz w:val="24"/>
                <w:szCs w:val="24"/>
              </w:rPr>
              <w:t>ուղղվածության</w:t>
            </w:r>
            <w:proofErr w:type="spellEnd"/>
            <w:r w:rsidR="003F7C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Tahoma"/>
                <w:sz w:val="24"/>
                <w:szCs w:val="24"/>
              </w:rPr>
              <w:t>հասարակական</w:t>
            </w:r>
            <w:proofErr w:type="spellEnd"/>
            <w:r w:rsidR="003F7C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3F7C0C">
              <w:rPr>
                <w:rFonts w:ascii="GHEA Grapalat" w:hAnsi="GHEA Grapalat" w:cs="Tahoma"/>
                <w:sz w:val="24"/>
                <w:szCs w:val="24"/>
              </w:rPr>
              <w:t>կազմակերպություններ</w:t>
            </w:r>
            <w:proofErr w:type="spellEnd"/>
            <w:r w:rsidR="003F7C0C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24161A" w:rsidRDefault="006A4614" w:rsidP="00070BD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24161A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    </w:t>
            </w:r>
            <w:r w:rsidRPr="0024161A">
              <w:rPr>
                <w:rFonts w:ascii="GHEA Grapalat" w:hAnsi="GHEA Grapalat"/>
                <w:b/>
                <w:sz w:val="24"/>
                <w:szCs w:val="24"/>
              </w:rPr>
              <w:t>5. ՏԵՂԵԿԱՆՔ</w:t>
            </w:r>
          </w:p>
          <w:p w:rsidR="006A4614" w:rsidRPr="0024161A" w:rsidRDefault="006A4614" w:rsidP="00070BD6">
            <w:pPr>
              <w:jc w:val="both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2017-2036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թվականների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կոշտ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կենցաղային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թափոնների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համակարգի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զարգացման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ռազմավարությանը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հավանություն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տալու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վերաբերյալ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հասարակության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իրազեկվածության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2416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24161A" w:rsidRDefault="006A4614" w:rsidP="00070BD6">
            <w:pPr>
              <w:tabs>
                <w:tab w:val="left" w:pos="720"/>
              </w:tabs>
              <w:jc w:val="both"/>
              <w:rPr>
                <w:rFonts w:ascii="GHEA Grapalat" w:hAnsi="GHEA Grapalat" w:cs="Arial Armenian"/>
                <w:sz w:val="24"/>
                <w:szCs w:val="24"/>
              </w:rPr>
            </w:pPr>
            <w:r w:rsidRPr="0024161A">
              <w:rPr>
                <w:rFonts w:ascii="GHEA Grapalat" w:hAnsi="GHEA Grapalat"/>
                <w:sz w:val="24"/>
                <w:szCs w:val="24"/>
              </w:rPr>
              <w:t xml:space="preserve">       </w:t>
            </w:r>
            <w:r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2017-2036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թվականների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կոշտ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կենցաղային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թափոնների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համակարգի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զարգացման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ռազմավարությանը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հավանություն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տալու</w:t>
            </w:r>
            <w:proofErr w:type="spellEnd"/>
            <w:r w:rsidR="00070B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070BD6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էլեկտրոնային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տարբերակը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,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մինչև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նախագիծը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ՀՀ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նիստի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քննարկմանը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ներկայացնելը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,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տեղադրվելու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է ՀՀ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ինտերնետային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կայքում`www.e-gov.am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հասցեում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</w:tbl>
    <w:p w:rsidR="006A4614" w:rsidRPr="0024161A" w:rsidRDefault="006A4614" w:rsidP="006A4614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24161A">
        <w:rPr>
          <w:rFonts w:ascii="GHEA Grapalat" w:hAnsi="GHEA Grapalat"/>
          <w:sz w:val="22"/>
          <w:szCs w:val="22"/>
        </w:rPr>
        <w:tab/>
      </w:r>
      <w:r w:rsidRPr="0024161A">
        <w:rPr>
          <w:rFonts w:ascii="GHEA Grapalat" w:hAnsi="GHEA Grapalat"/>
          <w:b/>
          <w:sz w:val="24"/>
          <w:szCs w:val="24"/>
          <w:lang w:val="pt-BR"/>
        </w:rPr>
        <w:t xml:space="preserve">                                      </w:t>
      </w:r>
    </w:p>
    <w:p w:rsidR="00197FBF" w:rsidRDefault="00197FBF"/>
    <w:sectPr w:rsidR="00197FBF" w:rsidSect="00ED5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38F3"/>
    <w:rsid w:val="00070BD6"/>
    <w:rsid w:val="00197FBF"/>
    <w:rsid w:val="00382D3C"/>
    <w:rsid w:val="003F7C0C"/>
    <w:rsid w:val="005538F3"/>
    <w:rsid w:val="005830FB"/>
    <w:rsid w:val="006A4614"/>
    <w:rsid w:val="00C125AB"/>
    <w:rsid w:val="00ED5423"/>
    <w:rsid w:val="00EF2E15"/>
    <w:rsid w:val="00F4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1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1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Ghukasyan</dc:creator>
  <cp:keywords/>
  <dc:description/>
  <cp:lastModifiedBy>l.gabrielyan</cp:lastModifiedBy>
  <cp:revision>11</cp:revision>
  <cp:lastPrinted>2016-10-05T13:47:00Z</cp:lastPrinted>
  <dcterms:created xsi:type="dcterms:W3CDTF">2016-09-26T13:31:00Z</dcterms:created>
  <dcterms:modified xsi:type="dcterms:W3CDTF">2016-10-10T05:17:00Z</dcterms:modified>
</cp:coreProperties>
</file>