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A7" w:rsidRPr="004C50A7" w:rsidRDefault="004C50A7" w:rsidP="004C50A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30"/>
        </w:rPr>
      </w:pPr>
      <w:r w:rsidRPr="004C50A7">
        <w:rPr>
          <w:rFonts w:ascii="GHEA Grapalat" w:eastAsia="Times New Roman" w:hAnsi="GHEA Grapalat" w:cs="Times New Roman"/>
          <w:b/>
          <w:sz w:val="24"/>
          <w:szCs w:val="30"/>
        </w:rPr>
        <w:t>ՏԵՂԵԿԱՆՔ</w:t>
      </w:r>
    </w:p>
    <w:p w:rsidR="004C50A7" w:rsidRPr="004C50A7" w:rsidRDefault="004C50A7" w:rsidP="004C50A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4C50A7" w:rsidRPr="004C50A7" w:rsidTr="00D94234">
        <w:trPr>
          <w:cantSplit/>
          <w:jc w:val="center"/>
        </w:trPr>
        <w:tc>
          <w:tcPr>
            <w:tcW w:w="9828" w:type="dxa"/>
            <w:gridSpan w:val="2"/>
          </w:tcPr>
          <w:p w:rsidR="004C50A7" w:rsidRPr="004C50A7" w:rsidRDefault="004C50A7" w:rsidP="004C50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t xml:space="preserve">«Տեղական ինքնակառավարման մասին» Հայաստանի Հանրապետության օրենքում </w:t>
            </w:r>
            <w:r>
              <w:rPr>
                <w:rFonts w:ascii="GHEA Grapalat" w:eastAsia="Times New Roman" w:hAnsi="GHEA Grapalat" w:cs="Times New Roman"/>
                <w:szCs w:val="24"/>
                <w:lang w:val="ru-RU"/>
              </w:rPr>
              <w:t>փոփոխություններ</w:t>
            </w:r>
            <w:r w:rsidRPr="004C50A7">
              <w:rPr>
                <w:rFonts w:ascii="GHEA Grapalat" w:eastAsia="Times New Roman" w:hAnsi="GHEA Grapalat" w:cs="Times New Roman"/>
                <w:szCs w:val="24"/>
              </w:rPr>
              <w:t xml:space="preserve"> կատարելու մասին» ՀՀ օրենքի նախագծի ընդունման հիմնավորումը</w:t>
            </w:r>
          </w:p>
          <w:p w:rsidR="004C50A7" w:rsidRPr="004C50A7" w:rsidRDefault="004C50A7" w:rsidP="004C50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</w:rPr>
            </w:pP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1.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Անհրաժեշտությունը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117C71" w:rsidP="00117C71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117C71">
              <w:rPr>
                <w:rFonts w:ascii="GHEA Grapalat" w:eastAsia="Times New Roman" w:hAnsi="GHEA Grapalat" w:cs="Times New Roman"/>
                <w:szCs w:val="24"/>
              </w:rPr>
              <w:t>Համայնքի զարգացման ծրագրի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 հասկացության սահմանում և ծրագրի ընդունման, դրանում փոփոխությունների (լրացումների)</w:t>
            </w:r>
            <w:r w:rsidRPr="00117C7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կատարման ընթացակարգի հստակեցում, ծրագրի պարտադիր բաղադրիչների </w:t>
            </w:r>
            <w:r w:rsidRPr="00117C71">
              <w:rPr>
                <w:rFonts w:ascii="GHEA Grapalat" w:eastAsia="Times New Roman" w:hAnsi="GHEA Grapalat" w:cs="Times New Roman"/>
                <w:szCs w:val="24"/>
              </w:rPr>
              <w:t>սահմանում: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t>2.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keepNext/>
              <w:spacing w:after="0" w:line="240" w:lineRule="auto"/>
              <w:outlineLvl w:val="0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Ընթացիկ վիճակը և խնդիրները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Default="00117C71" w:rsidP="00117C71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117C71">
              <w:rPr>
                <w:rFonts w:ascii="GHEA Grapalat" w:eastAsia="Times New Roman" w:hAnsi="GHEA Grapalat" w:cs="Times New Roman"/>
                <w:szCs w:val="24"/>
              </w:rPr>
              <w:t xml:space="preserve">Համաձայն «Տեղական ինքնակառավարման մասին» ՀՀ օրենքի 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 xml:space="preserve">(այսուհետ՝ օրենք) </w:t>
            </w:r>
            <w:r w:rsidRPr="00117C71">
              <w:rPr>
                <w:rFonts w:ascii="GHEA Grapalat" w:eastAsia="Times New Roman" w:hAnsi="GHEA Grapalat" w:cs="Times New Roman"/>
                <w:szCs w:val="24"/>
              </w:rPr>
              <w:t>16-րդ հոդվածի՝ համայնքի ավագանին համայնքի ղեկավարի ներկայացմամբ հաստատում է համայնքի զարգացման ծրագիրը: Նույն օրենքի 53-րդ հոդվածով նկարագրվում է համայնքի զարգացման ծրագրի ընդունման որոշակի ընթացակարգ: Սակայն, ելնելով այն հանգամանքից, որ յուրաքանչյուր համայնքում յուրովի են մոտենում համայնքի ծրագրին ներկայացվող պահանջների կազմին և բովանդակությանը՝ անհրաժեշտություն է առաջացել օրենսդրորեն սահմանելու այդ պահանջները:</w:t>
            </w:r>
          </w:p>
          <w:p w:rsidR="00E905E6" w:rsidRDefault="008B13B5" w:rsidP="00E905E6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Բացի այդ, նախագծով նախատեսվում են 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 xml:space="preserve">մի շարք այլ 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փոփոխություններ, 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>մասնավորապես.</w:t>
            </w:r>
          </w:p>
          <w:p w:rsidR="008B13B5" w:rsidRDefault="008B13B5" w:rsidP="00E905E6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r w:rsidR="00105F5B">
              <w:rPr>
                <w:rFonts w:ascii="GHEA Grapalat" w:eastAsia="Times New Roman" w:hAnsi="GHEA Grapalat" w:cs="Times New Roman"/>
                <w:szCs w:val="24"/>
              </w:rPr>
              <w:t xml:space="preserve">- </w:t>
            </w:r>
            <w:r w:rsidR="00B5016C">
              <w:rPr>
                <w:rFonts w:ascii="GHEA Grapalat" w:eastAsia="Times New Roman" w:hAnsi="GHEA Grapalat" w:cs="Times New Roman"/>
                <w:szCs w:val="24"/>
              </w:rPr>
              <w:t>Օրենքի 7-րդ հոդված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 xml:space="preserve">ում առաջարկվում է հանել </w:t>
            </w:r>
            <w:r w:rsidR="00E905E6" w:rsidRPr="00E905E6">
              <w:rPr>
                <w:rFonts w:ascii="GHEA Grapalat" w:eastAsia="Times New Roman" w:hAnsi="GHEA Grapalat" w:cs="Times New Roman"/>
                <w:szCs w:val="24"/>
              </w:rPr>
              <w:t>1-ին մասի երկրորդ նախադասությունը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>, որով սահմանվում է, թե ով կարող է ընտրվել համայնքի ղեկավար և ավագանու անդամ: Առաջարկությունը պայմանավորված է այն հանգամանքով, որ ՀՀ ընտրական օրենսգրքով (132-րդ հոդված) արդեն իսկ սահմանված են այդ չափանիշները:</w:t>
            </w:r>
          </w:p>
          <w:p w:rsidR="00E905E6" w:rsidRDefault="00B5016C" w:rsidP="00E905E6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- </w:t>
            </w:r>
            <w:r w:rsidR="00E905E6">
              <w:rPr>
                <w:rFonts w:ascii="GHEA Grapalat" w:eastAsia="Times New Roman" w:hAnsi="GHEA Grapalat" w:cs="Times New Roman"/>
                <w:szCs w:val="24"/>
              </w:rPr>
              <w:t xml:space="preserve">Նույն տրամաբանությամբ առաջարկվում է ուժը կորցրած ճանաչել օրենքի 24-րդ հոդվածը, որտեղ 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>նույնպես սահմանվում է, թե ով կարող է ընտրվել համայնքի ղեկավար:</w:t>
            </w:r>
          </w:p>
          <w:p w:rsidR="003C4071" w:rsidRDefault="00105F5B" w:rsidP="00A46E58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- 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>Օրենքի 28-րդ հոդվածով սահմանվում է, որ «</w:t>
            </w:r>
            <w:r w:rsidR="003C4071" w:rsidRPr="003C4071">
              <w:rPr>
                <w:rFonts w:ascii="GHEA Grapalat" w:eastAsia="Times New Roman" w:hAnsi="GHEA Grapalat" w:cs="Times New Roman"/>
                <w:szCs w:val="24"/>
              </w:rPr>
              <w:t>Համայնքի նոր ղեկավարի ընտրվելուց հետո հայեցողական պաշտոններ զբաղեցնող անձինք իրենց լիազորությունները վայր են դնում: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 xml:space="preserve">» Մեր կողմից առաջարկվում է </w:t>
            </w:r>
            <w:r w:rsidR="003C4071" w:rsidRPr="003C4071">
              <w:rPr>
                <w:rFonts w:ascii="GHEA Grapalat" w:eastAsia="Times New Roman" w:hAnsi="GHEA Grapalat" w:cs="Times New Roman"/>
                <w:szCs w:val="24"/>
              </w:rPr>
              <w:t>հայեցո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>ղական պաշտոններ զբաղեցնող անձանց</w:t>
            </w:r>
            <w:r w:rsidR="003C4071" w:rsidRPr="003C407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 xml:space="preserve">կողմից </w:t>
            </w:r>
            <w:r w:rsidR="003C4071" w:rsidRPr="003C4071">
              <w:rPr>
                <w:rFonts w:ascii="GHEA Grapalat" w:eastAsia="Times New Roman" w:hAnsi="GHEA Grapalat" w:cs="Times New Roman"/>
                <w:szCs w:val="24"/>
              </w:rPr>
              <w:t>իրենց լիազորությունները վայր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 xml:space="preserve"> դնելու ժամկետը </w:t>
            </w:r>
            <w:r w:rsidR="00B5016C">
              <w:rPr>
                <w:rFonts w:ascii="GHEA Grapalat" w:eastAsia="Times New Roman" w:hAnsi="GHEA Grapalat" w:cs="Times New Roman"/>
                <w:szCs w:val="24"/>
                <w:lang w:val="ru-RU"/>
              </w:rPr>
              <w:t>թղթակցել</w:t>
            </w:r>
            <w:r w:rsidR="003C4071">
              <w:rPr>
                <w:rFonts w:ascii="GHEA Grapalat" w:eastAsia="Times New Roman" w:hAnsi="GHEA Grapalat" w:cs="Times New Roman"/>
                <w:szCs w:val="24"/>
              </w:rPr>
              <w:t xml:space="preserve"> ոչ թե համայնքի ղեկավարի ընտրվելու հանգամանքի հետ, այլ վերջինիս լիազորությունների ստանձնման հանգամանքի, քանի որ բազմաթիվ են այն դեպքերը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>, երբ համայնքի ղեկավարի ընտրվելու ու լիազորությունների ստանձնելու միջև ընկած ժամանակահատվածը տևում է երկու, նույնիսկ ավել ամիս ժամանակ, և, կարծում ենք անտրամաբանական է, որ այդ ժամանակահատվածում համայնքում չլինեն հայեցողական պաշտոններ զբաղեցնող պաշտոնյաներ:</w:t>
            </w:r>
          </w:p>
          <w:p w:rsidR="00A46E58" w:rsidRDefault="00105F5B" w:rsidP="000224CD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- 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>Օրենքի 57-րդ հոդվածով որպես հարկային եկամուտ սահմանված է «</w:t>
            </w:r>
            <w:r w:rsidR="00A46E58" w:rsidRPr="00A46E58">
              <w:rPr>
                <w:rFonts w:ascii="GHEA Grapalat" w:eastAsia="Times New Roman" w:hAnsi="GHEA Grapalat" w:cs="Times New Roman"/>
                <w:szCs w:val="24"/>
              </w:rPr>
              <w:t>տրանսպորտային միջոցների կայանատեղի հարկ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 xml:space="preserve">»-ը: </w:t>
            </w:r>
            <w:r w:rsidR="00B5016C">
              <w:rPr>
                <w:rFonts w:ascii="GHEA Grapalat" w:eastAsia="Times New Roman" w:hAnsi="GHEA Grapalat" w:cs="Times New Roman"/>
                <w:szCs w:val="24"/>
                <w:lang w:val="ru-RU"/>
              </w:rPr>
              <w:t>Մինչդեռ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 xml:space="preserve">, 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 xml:space="preserve">2011 թվականի հունիսի 23-ի 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>«</w:t>
            </w:r>
            <w:r w:rsidR="000224CD" w:rsidRPr="000224CD">
              <w:rPr>
                <w:rFonts w:ascii="GHEA Grapalat" w:eastAsia="Times New Roman" w:hAnsi="GHEA Grapalat" w:cs="Times New Roman"/>
                <w:szCs w:val="24"/>
              </w:rPr>
              <w:t>Հարկերի մասին» Հայաստանի Հանրապետության օրենքո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ւմ փոփոխություն կատարելու մասին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 xml:space="preserve">» </w:t>
            </w:r>
            <w:r w:rsidR="000224CD" w:rsidRPr="000224CD">
              <w:rPr>
                <w:rFonts w:ascii="GHEA Grapalat" w:eastAsia="Times New Roman" w:hAnsi="GHEA Grapalat" w:cs="Times New Roman"/>
                <w:szCs w:val="24"/>
              </w:rPr>
              <w:t>ՀՕ-225-Ն</w:t>
            </w:r>
            <w:r w:rsidR="00A46E58">
              <w:rPr>
                <w:rFonts w:ascii="GHEA Grapalat" w:eastAsia="Times New Roman" w:hAnsi="GHEA Grapalat" w:cs="Times New Roman"/>
                <w:szCs w:val="24"/>
              </w:rPr>
              <w:t xml:space="preserve"> օրենքի 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համաձայն՝ այդ հարկատեսակը հանվել է: Փոխարենը, նույն օրը ՀՀ Ազգային Ժողովի կողմից ընդունված «Ա</w:t>
            </w:r>
            <w:r w:rsidR="000224CD" w:rsidRPr="000224CD">
              <w:rPr>
                <w:rFonts w:ascii="GHEA Grapalat" w:eastAsia="Times New Roman" w:hAnsi="GHEA Grapalat" w:cs="Times New Roman"/>
                <w:szCs w:val="24"/>
              </w:rPr>
              <w:t>վտոտրանսպորտային միջոցների կայանատեղերի տեղական տուրք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ի մասին» ՀՕ</w:t>
            </w:r>
            <w:r w:rsidR="000224CD">
              <w:t xml:space="preserve"> </w:t>
            </w:r>
            <w:r w:rsidR="000224CD" w:rsidRPr="000224CD">
              <w:rPr>
                <w:rFonts w:ascii="GHEA Grapalat" w:eastAsia="Times New Roman" w:hAnsi="GHEA Grapalat" w:cs="Times New Roman"/>
                <w:szCs w:val="24"/>
              </w:rPr>
              <w:t>-221-Ն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 xml:space="preserve"> օրենքով սահմանվել է համապատասխան </w:t>
            </w:r>
            <w:r w:rsidR="000224CD" w:rsidRPr="000224CD">
              <w:rPr>
                <w:rFonts w:ascii="GHEA Grapalat" w:eastAsia="Times New Roman" w:hAnsi="GHEA Grapalat" w:cs="Times New Roman"/>
                <w:szCs w:val="24"/>
              </w:rPr>
              <w:t>տեղական տուրք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:</w:t>
            </w:r>
          </w:p>
          <w:p w:rsidR="000224CD" w:rsidRPr="004C50A7" w:rsidRDefault="00105F5B" w:rsidP="00105F5B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 xml:space="preserve">- 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Օրենքի 85-րդ հոդվածի 2-րդ մասի համաձայն՝  «</w:t>
            </w:r>
            <w:r w:rsidRPr="00105F5B">
              <w:rPr>
                <w:rFonts w:ascii="GHEA Grapalat" w:eastAsia="Times New Roman" w:hAnsi="GHEA Grapalat" w:cs="Times New Roman"/>
                <w:szCs w:val="24"/>
              </w:rPr>
              <w:t>Սույն օրենքի 28-րդ հոդվածը գործում է մինչև տեղական ինքնակառավարման մարմիններում ծառայության մասին համապատասխան օրենքն ընդունելը և սահմանված կարգով ուժի մեջ մտնելը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»</w:t>
            </w:r>
            <w:r>
              <w:rPr>
                <w:rFonts w:ascii="GHEA Grapalat" w:eastAsia="Times New Roman" w:hAnsi="GHEA Grapalat" w:cs="Times New Roman"/>
                <w:szCs w:val="24"/>
              </w:rPr>
              <w:t>: Այդ օրենքն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 xml:space="preserve"> ընդունվել է 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դեռևս 2004 թվականի դեկտեմբերի 14-ին 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(«Համայնքային ծառայության մասին»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 ՀՀ օրենք), </w:t>
            </w:r>
            <w:r w:rsidR="000224CD">
              <w:rPr>
                <w:rFonts w:ascii="GHEA Grapalat" w:eastAsia="Times New Roman" w:hAnsi="GHEA Grapalat" w:cs="Times New Roman"/>
                <w:szCs w:val="24"/>
              </w:rPr>
              <w:t>սակայն օրենքի 28-րդ հոդվածն արդիական է</w:t>
            </w:r>
            <w:r>
              <w:rPr>
                <w:rFonts w:ascii="GHEA Grapalat" w:eastAsia="Times New Roman" w:hAnsi="GHEA Grapalat" w:cs="Times New Roman"/>
                <w:szCs w:val="24"/>
              </w:rPr>
              <w:t xml:space="preserve">: Ուստի մեր կողմից առաջարկվում է ուժը կորցրած ճանաչել օրենքի 85-րդ հոդվածը, դրանով իսկ </w:t>
            </w:r>
            <w:r>
              <w:rPr>
                <w:rFonts w:ascii="GHEA Grapalat" w:eastAsia="Times New Roman" w:hAnsi="GHEA Grapalat" w:cs="Times New Roman"/>
                <w:szCs w:val="24"/>
              </w:rPr>
              <w:lastRenderedPageBreak/>
              <w:t>ապահովելով 28-րդ հոդվածի գործածության իրավաչափությունը: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lastRenderedPageBreak/>
              <w:t>3.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keepNext/>
              <w:spacing w:after="0" w:line="240" w:lineRule="auto"/>
              <w:outlineLvl w:val="0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Տվյալ բնագավառում իրականացվող քաղաքականությունը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105F5B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105F5B">
              <w:rPr>
                <w:rFonts w:ascii="GHEA Grapalat" w:eastAsia="Times New Roman" w:hAnsi="GHEA Grapalat" w:cs="Times New Roman"/>
                <w:szCs w:val="24"/>
              </w:rPr>
              <w:t>Ներկայացված նախագիծը տվյալ բնագավառում իրականացվող քաղաքականության փոփոխություն չի նախատեսում: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t>4.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keepNext/>
              <w:spacing w:after="0" w:line="240" w:lineRule="auto"/>
              <w:outlineLvl w:val="0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Կարգավորման նպատակը և բնույթը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105F5B" w:rsidP="00105F5B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105F5B">
              <w:rPr>
                <w:rFonts w:ascii="GHEA Grapalat" w:eastAsia="Times New Roman" w:hAnsi="GHEA Grapalat" w:cs="Times New Roman"/>
                <w:szCs w:val="24"/>
              </w:rPr>
              <w:t>Նշված խնդիրների կարգավորման նպատակով առաջարկվում է փոփոխություններ կատարել «Տեղական ինքնակառավարման մասին» ՀՀ օրենքում: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5.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105F5B" w:rsidP="004C50A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Cs w:val="24"/>
              </w:rPr>
            </w:pPr>
            <w:r>
              <w:rPr>
                <w:rFonts w:ascii="GHEA Grapalat" w:eastAsia="Times New Roman" w:hAnsi="GHEA Grapalat" w:cs="Times New Roman"/>
                <w:szCs w:val="24"/>
              </w:rPr>
              <w:t>ՀՀ տարածքային կառավարման նախարարություն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t>6.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keepNext/>
              <w:spacing w:after="0" w:line="240" w:lineRule="auto"/>
              <w:outlineLvl w:val="0"/>
              <w:rPr>
                <w:rFonts w:ascii="GHEA Grapalat" w:eastAsia="Times New Roman" w:hAnsi="GHEA Grapalat" w:cs="Times New Roman"/>
                <w:b/>
                <w:bCs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bCs/>
                <w:szCs w:val="24"/>
              </w:rPr>
              <w:t>Ակնկալվող արդյունք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105F5B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105F5B">
              <w:rPr>
                <w:rFonts w:ascii="GHEA Grapalat" w:eastAsia="Times New Roman" w:hAnsi="GHEA Grapalat" w:cs="Times New Roman"/>
                <w:szCs w:val="24"/>
              </w:rPr>
              <w:t>Համայնքի զարգացման ծրագրին՝ որպես համայնքի ռազմավարական պլանավորման գլխավոր փաստաթղթին, ներկայացվող պահանջների սահմանում</w:t>
            </w:r>
            <w:r>
              <w:rPr>
                <w:rFonts w:ascii="GHEA Grapalat" w:eastAsia="Times New Roman" w:hAnsi="GHEA Grapalat" w:cs="Times New Roman"/>
                <w:szCs w:val="24"/>
              </w:rPr>
              <w:t>, ինչպես նաև օրենքի կատարելագործում: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szCs w:val="24"/>
              </w:rPr>
              <w:t>7.</w:t>
            </w:r>
          </w:p>
        </w:tc>
        <w:tc>
          <w:tcPr>
            <w:tcW w:w="9335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szCs w:val="24"/>
              </w:rPr>
              <w:t>Այլ տեղեկություններ (եթե այդպիսիք առկա են)</w:t>
            </w:r>
          </w:p>
        </w:tc>
      </w:tr>
      <w:tr w:rsidR="004C50A7" w:rsidRPr="004C50A7" w:rsidTr="00D94234">
        <w:trPr>
          <w:jc w:val="center"/>
        </w:trPr>
        <w:tc>
          <w:tcPr>
            <w:tcW w:w="493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</w:rPr>
            </w:pPr>
          </w:p>
        </w:tc>
        <w:tc>
          <w:tcPr>
            <w:tcW w:w="9335" w:type="dxa"/>
          </w:tcPr>
          <w:p w:rsidR="004C50A7" w:rsidRPr="004C50A7" w:rsidRDefault="004C50A7" w:rsidP="004C50A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Cs w:val="24"/>
              </w:rPr>
            </w:pPr>
            <w:r w:rsidRPr="004C50A7">
              <w:rPr>
                <w:rFonts w:ascii="GHEA Grapalat" w:eastAsia="Times New Roman" w:hAnsi="GHEA Grapalat" w:cs="Times New Roman"/>
                <w:b/>
                <w:szCs w:val="24"/>
              </w:rPr>
              <w:t>-</w:t>
            </w:r>
          </w:p>
        </w:tc>
      </w:tr>
    </w:tbl>
    <w:p w:rsidR="00C61EEA" w:rsidRDefault="00C61EEA"/>
    <w:sectPr w:rsidR="00C61EEA" w:rsidSect="004C50A7"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C50A7"/>
    <w:rsid w:val="000224CD"/>
    <w:rsid w:val="00105F5B"/>
    <w:rsid w:val="00117C71"/>
    <w:rsid w:val="00306CDD"/>
    <w:rsid w:val="00315993"/>
    <w:rsid w:val="00377433"/>
    <w:rsid w:val="003C4071"/>
    <w:rsid w:val="004C50A7"/>
    <w:rsid w:val="008B13B5"/>
    <w:rsid w:val="00A46E58"/>
    <w:rsid w:val="00B5016C"/>
    <w:rsid w:val="00C61EEA"/>
    <w:rsid w:val="00E9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2013-07-24T08:38:00Z</cp:lastPrinted>
  <dcterms:created xsi:type="dcterms:W3CDTF">2013-05-14T06:11:00Z</dcterms:created>
  <dcterms:modified xsi:type="dcterms:W3CDTF">2013-07-24T08:42:00Z</dcterms:modified>
</cp:coreProperties>
</file>