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CE" w:rsidRPr="00CD4494" w:rsidRDefault="00D05CCE" w:rsidP="00D05CC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D4494">
        <w:rPr>
          <w:rFonts w:ascii="GHEA Grapalat" w:hAnsi="GHEA Grapalat" w:cs="Sylfaen"/>
          <w:b/>
          <w:sz w:val="24"/>
          <w:szCs w:val="24"/>
        </w:rPr>
        <w:t>ՀԻՄՆԱՎՈՐՈՒՄ</w:t>
      </w:r>
      <w:r w:rsidRPr="00CD4494">
        <w:rPr>
          <w:rFonts w:ascii="GHEA Grapalat" w:hAnsi="GHEA Grapalat"/>
          <w:b/>
          <w:sz w:val="24"/>
          <w:szCs w:val="24"/>
        </w:rPr>
        <w:t xml:space="preserve"> </w:t>
      </w:r>
    </w:p>
    <w:p w:rsidR="00D05CCE" w:rsidRPr="00CD4494" w:rsidRDefault="00D05CCE" w:rsidP="00D05CC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05CCE">
        <w:rPr>
          <w:rFonts w:ascii="GHEA Grapalat" w:hAnsi="GHEA Grapalat"/>
          <w:b/>
          <w:sz w:val="24"/>
          <w:szCs w:val="24"/>
          <w:lang w:val="en-US"/>
        </w:rPr>
        <w:t>«</w:t>
      </w:r>
      <w:r w:rsidRPr="00CD4494">
        <w:rPr>
          <w:rFonts w:ascii="GHEA Grapalat" w:hAnsi="GHEA Grapalat"/>
          <w:b/>
          <w:sz w:val="24"/>
          <w:szCs w:val="24"/>
          <w:lang w:val="en-US"/>
        </w:rPr>
        <w:t>Տեղական ինքնակառավարման մասին</w:t>
      </w:r>
      <w:r w:rsidRPr="00D05CCE">
        <w:rPr>
          <w:rFonts w:ascii="GHEA Grapalat" w:hAnsi="GHEA Grapalat"/>
          <w:b/>
          <w:sz w:val="24"/>
          <w:szCs w:val="24"/>
          <w:lang w:val="en-US"/>
        </w:rPr>
        <w:t>»</w:t>
      </w:r>
      <w:r w:rsidRPr="00CD4494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օրենքում փոփոխություն կատարելու մասին</w:t>
      </w:r>
      <w:r w:rsidR="00062107">
        <w:rPr>
          <w:rFonts w:ascii="GHEA Grapalat" w:hAnsi="GHEA Grapalat"/>
          <w:b/>
          <w:sz w:val="24"/>
          <w:szCs w:val="24"/>
        </w:rPr>
        <w:t>»</w:t>
      </w:r>
      <w:r w:rsidRPr="00CD4494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օրենքի   նախագծի ընդունման անհրաժեշտության վերաբերյալ</w:t>
      </w:r>
    </w:p>
    <w:p w:rsidR="00D05CCE" w:rsidRPr="00CD4494" w:rsidRDefault="00D05CCE" w:rsidP="00D05CC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05CCE">
        <w:rPr>
          <w:rFonts w:ascii="GHEA Grapalat" w:hAnsi="GHEA Grapalat"/>
          <w:b/>
          <w:sz w:val="24"/>
          <w:szCs w:val="24"/>
          <w:lang w:val="en-US"/>
        </w:rPr>
        <w:t>1. Ընթացիկ իրավիճակը և իրավական ակտի ընդունման անհրաժեշտությունը</w:t>
      </w:r>
    </w:p>
    <w:p w:rsidR="00D05CCE" w:rsidRPr="00D05CCE" w:rsidRDefault="00D05CCE" w:rsidP="00D05CCE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«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մասին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օրենքում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նախագծի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ման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անհրաժեշտությունը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պայմանավորված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2015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թվականի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դեկտեմբերի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 6-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համապետական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հանրաքվեի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արդյունքներով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ընդունված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Style w:val="apple-converted-space"/>
          <w:rFonts w:ascii="Sylfaen" w:hAnsi="Sylfaen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նոր</w:t>
      </w:r>
      <w:r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Սահմանադրության</w:t>
      </w:r>
      <w:r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9-</w:t>
      </w:r>
      <w:r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րդ</w:t>
      </w:r>
      <w:r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գլխում</w:t>
      </w:r>
      <w:r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</w:t>
      </w:r>
      <w:r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գտած</w:t>
      </w:r>
      <w:r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իրավակարգավորումների</w:t>
      </w:r>
      <w:r w:rsidRPr="00D05CC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 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ընդհանուր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առմամբ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գլխով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սահմանված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ների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տրամաբանության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համապատասխանեցմամբ</w:t>
      </w:r>
      <w:r w:rsidRPr="00D05CC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D05CCE" w:rsidRPr="007A09E1" w:rsidRDefault="00D05CCE" w:rsidP="00316F3B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Սահմանադրության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9-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գլխի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179-190-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հոդվածներով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սահմանված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իրավակարգավորումները՝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փոփոխությունների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լրացումների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տեսքով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անխուսափելիորեն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պետք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ամրագրվեն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16F3B"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«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մասին</w:t>
      </w:r>
      <w:r w:rsidR="00316F3B"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»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օրենքում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:  </w:t>
      </w:r>
    </w:p>
    <w:p w:rsidR="00D05CCE" w:rsidRPr="007A09E1" w:rsidRDefault="00D05CCE" w:rsidP="005E5488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Սահմանադրության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9-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գլխի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իրավակարգավորող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դրույթներով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փոփոխվել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շարք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հասկացություններ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իրավական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մեխանիզմներ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մասնավորապես՝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հասկացությունները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մարմիններին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տրված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լիազորությունները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այդ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լիազորությունների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իրականացման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նկատմամբ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հսկողության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ձևերն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մեխանիզմները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միջհամայնքային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միավորումների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ստեղծման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եղանակներն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մեթոդները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դրանց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իրավական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կարգավիճակը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որպես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նոր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ինստիտուցիոնալ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կարգավորումներ՝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համար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պարտադիր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կամավոր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խնդիրների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սահմանումը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: </w:t>
      </w:r>
    </w:p>
    <w:p w:rsidR="00D05CCE" w:rsidRPr="007A09E1" w:rsidRDefault="00D05CCE" w:rsidP="005E5488">
      <w:pPr>
        <w:ind w:firstLine="720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Սահմանադրության</w:t>
      </w:r>
      <w:r w:rsidR="002D681A"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«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Եզրափակիչ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անցումային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դրույթներ</w:t>
      </w:r>
      <w:r w:rsidR="002D681A"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»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բաժնի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209-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մասում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սահմանվել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նաև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Սահմանադրության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9-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գլուխը՝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բացառությամբ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182-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4-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վերջին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նախադասության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դրույթի</w:t>
      </w:r>
      <w:r w:rsidRPr="007A09E1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ուժի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մեջ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է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մտնում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«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Հայաստանի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Հանրապետության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պաշտոնական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տեղեկագրում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»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Սահմանադրության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փոփոխությունները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հրապարակվելու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հաջորդ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ող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</w:rPr>
        <w:t>օրվանից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: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Հայաստանի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Հանրապետության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Սահմանադրության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9-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րդ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գլխի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իրավաբանական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ուժը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ապահովելու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 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առաջին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անհրաժեշտ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նախապայմաններից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մեկն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էլ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համարվում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է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համապատասխանաբար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2D681A"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lastRenderedPageBreak/>
        <w:t>«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Տեղական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ինքնակառավարման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մասին</w:t>
      </w:r>
      <w:r w:rsidR="002D681A"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»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Հայաստանի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Հանրապետության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օրենքում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համապատասխան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փոփոխություններ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և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լրացումներ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կատարելը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որն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էլ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կապահովվի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Սահմանադրանպաստ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իրավական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համակարգի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ձևավորմանն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ու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CD4494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կենսագործմանը</w:t>
      </w:r>
      <w:r w:rsidRPr="007A09E1">
        <w:rPr>
          <w:rFonts w:ascii="GHEA Grapalat" w:hAnsi="GHEA Grapalat"/>
          <w:color w:val="333333"/>
          <w:sz w:val="24"/>
          <w:szCs w:val="24"/>
          <w:shd w:val="clear" w:color="auto" w:fill="FFFFFF"/>
          <w:lang w:val="en-US"/>
        </w:rPr>
        <w:t>: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2D681A" w:rsidRPr="007A09E1" w:rsidRDefault="002D681A" w:rsidP="002D681A">
      <w:pPr>
        <w:spacing w:line="360" w:lineRule="auto"/>
        <w:ind w:firstLine="708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ՀՀ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Սահմանադրությանը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համապատասխանեցման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գործընթացի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փուլում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անդրադարձ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կատարվել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խմբագրման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ձևաչափին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Այդ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առումով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առաջին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հերթին՝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նպատակահարմար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համարվել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ձևակերպումների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տեխնիկայի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կիրառության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տեսակետից՝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համապատասխանեցումը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ՀՀ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Սահմանադրությանը՝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նախագիծ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կազմելու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տեսքով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Այս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մոտեցումը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բխում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ակտերի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ՀՀ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նորմատիվ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ակտի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իրավակարգավորող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մեծ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թվով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դրույթների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փոփոխության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գաղափարական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մոտեցումների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փոփոխություններից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ինչպես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իրավակարգավորումների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լրացումներ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կատարելու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D681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անհրաժեշտությունից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075BF9" w:rsidRPr="00075BF9" w:rsidRDefault="00075BF9" w:rsidP="00075BF9">
      <w:pPr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  <w:r w:rsidRPr="00075BF9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2. Առաջարկվող կարգավորման բնույթը</w:t>
      </w:r>
    </w:p>
    <w:p w:rsidR="0042222F" w:rsidRPr="007A09E1" w:rsidRDefault="0042222F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</w:p>
    <w:p w:rsidR="00885ED7" w:rsidRPr="007A09E1" w:rsidRDefault="00062107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06210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«Տեղական ինքնակառավարման մասին» Հայաստանի Հանրապետության օրենքում փոփոխություն կատարելու մասին»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ՀՀ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նախագիծը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անդրադառնում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ինչպես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2015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թ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Սահմանադրությունից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բխող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փոփոխություններին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լրացումներին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այնպես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էլ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առավել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լայն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մասշտաբով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օրենսդրական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կարգավորումների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փոփոխություններին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լրացումներին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որոնք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պայմանավորված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եվրոպական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խարտիայով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իշխանությանը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մասնակցելու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իրավունքի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մասին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եվրոպական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խարտիայի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լրացուցիչ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արձանագրությամբ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Ուտրեխտի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արձանագրություն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),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ինչպես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նաև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միջազգային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լավագույն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885ED7"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փորձով</w:t>
      </w:r>
      <w:r w:rsidR="00885ED7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885ED7" w:rsidRPr="007A09E1" w:rsidRDefault="00885ED7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«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ինքնկառավարման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նախագծով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առաջարկվում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է՝</w:t>
      </w:r>
    </w:p>
    <w:p w:rsidR="00885ED7" w:rsidRPr="007A09E1" w:rsidRDefault="00885ED7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նրա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բնակիչների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հասկացությունների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սահմանում՝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ՀՀ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Սահմանադրության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համապատասխան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85ED7" w:rsidRPr="007A09E1" w:rsidRDefault="00885ED7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lastRenderedPageBreak/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հիմնարար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սկզբունքների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համապատասխանեցում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Եվրոպական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Խարտիայի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պահանջներին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միջազգային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փորձին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85ED7" w:rsidRPr="007A09E1" w:rsidRDefault="00885ED7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մարմինների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լիազորությունների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խնդիրների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ընդհանուր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բնութագրի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ընդհանրական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85ED7" w:rsidRPr="007A09E1" w:rsidRDefault="00885ED7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պարտադիր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խնդիրների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սահմանում</w:t>
      </w:r>
      <w:r w:rsidR="009310B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՝ ՀՀ Սահմանադրության 86-րդ հոդվածին համապատասխանեցմամբ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85ED7" w:rsidRPr="007A09E1" w:rsidRDefault="00885ED7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Բնակիչների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մասնակցությունը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գործընթացներին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խմբագրում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մասնավորապես՝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1)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ինքնառավարմանը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քաղաքացիական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նախաձեռնությունների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միջոցով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մասնակցելու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հնարավորությունը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20506F" w:rsidRPr="0020506F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2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)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մարմինների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գործունեության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հրապարակայնության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բարելավումը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օրինակ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ինտերնետային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կայք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ունենալու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պահանջի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ներդրմամբ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885ED7" w:rsidRPr="007A09E1" w:rsidRDefault="00885ED7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Նախագիծը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տալիս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ինքնակառավարմանը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բնակչության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մասնակցության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այդ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թվում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հանրային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քննարկումներ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անցկացնելու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որոշակի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չափանիշներ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որոնց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մանրամասն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ընթացակարգերը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885ED7" w:rsidRPr="007A09E1" w:rsidRDefault="00885ED7" w:rsidP="00885E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  <w:t xml:space="preserve">3000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ավելի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բնակիչ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ունեցող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սահմանվել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պարտադիր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ինտերնետային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պաշտոնական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կայք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ունենալու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պարտավորություն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85ED7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ինստիտուտի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նրա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գործունեության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հետ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կապված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լրացուցիչ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հստակեցումներ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լրացումներ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մասնավորապես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` 1) 2000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ավելի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ընտրող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ունեցող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ստեղծում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մշտական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ժամանակավոր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հանձնաժողովներ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իսկ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մինչև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2000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ընտրող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ունեցող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կարող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ստեղծել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այդ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հանձնաժողովները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 2)</w:t>
      </w:r>
      <w:r w:rsidR="00FC13AC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հանձնաժողովների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ձևավորման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կարգը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սահմանվում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կողմից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 3)</w:t>
      </w:r>
      <w:r w:rsidR="00FC13AC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եթե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նիստին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հարցեր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ներկայացնում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ղեկավարը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վարչական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ներկայացուցիչը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անդամը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ապա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նախագծից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բացի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պետք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կցվեն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նախագծի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ընդունման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հիմնավորումը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բյուջեի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վրա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ազդեցության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տեղեկանքը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նախագծի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lastRenderedPageBreak/>
        <w:t>վերաբերյալ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հանրային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քննարկումների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հետևանքով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ստացված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առաջարկությունների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դրանց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ընդունման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չընդունման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պատճառների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վերաբերյալ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4) 2000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ավելի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ընտրող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ունեցող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նիստի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օրակարգում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ընդգրկվող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հարցերը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պետք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նախապես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լսվեն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հանձնաժողովներից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որևէ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մեկում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 5)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նիստերի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արձանագրությունները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մեկշաբաթյա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ժամկետում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տեղադրվում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պաշտոնական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ինտերնետային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կայքում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6) 10000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բնակիչ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ունեցող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համայնքներում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դռնբաց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նիստերը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առցանց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հեռարձակվում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պաշտոնական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ինտերնետային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կայքում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 </w:t>
      </w:r>
      <w:r w:rsidR="00DE1916" w:rsidRPr="00DE1916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7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)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անդամը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իրավունք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ունի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ղեկավարից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պահանջել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ստանալ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նրա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աշխատակազմի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ենթակայության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կազմակերպությունների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ինչպես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վարչական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ներկայացուցչի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գործունեության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վերաբերյալ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տեղեկատվություն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1B5519" w:rsidRPr="007A09E1" w:rsidRDefault="001B5519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Վարչական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ներկայացուցչի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հաստիքի առկայություն բոլոր բնակավայրերի համար (նախկինում՝ 100-ից ավելի բնակիչ ունեցող բնակավայրեր</w:t>
      </w:r>
      <w:r w:rsidR="00644CF0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ում</w:t>
      </w:r>
      <w:r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)</w:t>
      </w:r>
      <w:r w:rsidR="00644CF0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Վարչական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ներկայացուցչի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կողմից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նիստի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մասնակցության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օրակարգում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հարց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ներկայացնելու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հնարավորության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ընձեռում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ղեկավարի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պարտադիր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խնդիրների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լուծման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նպատակով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սեփական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լիազորությունների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հստակ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ղեկավարի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ոլորտային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լիազորությունների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բովանդակության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հստակեցում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տարանջատում՝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սեփականի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պատվիրակվածի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միջև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Մասնավորապես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սահմանվել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հետևյալ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լիազորությունները</w:t>
      </w:r>
      <w:r w:rsidR="00FC13AC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1)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կազմակերպում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նախադպրոցական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կրթության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իրականացումը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տարածքում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2)  25.000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ավելի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բնակիչ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ունեցող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80B52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իրականացնում</w:t>
      </w:r>
      <w:r w:rsidR="00980B52" w:rsidRPr="00980B52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80B52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է</w:t>
      </w:r>
      <w:r w:rsidR="00980B52" w:rsidRPr="00980B52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80B52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հանրակրթության</w:t>
      </w:r>
      <w:r w:rsidR="00980B52" w:rsidRPr="00980B52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80B52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պետական</w:t>
      </w:r>
      <w:r w:rsidR="00980B52" w:rsidRPr="00980B52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80B52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քաղաքականությունը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3)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կազմակերպում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ներհամայնքային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միջհամայնքային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ամենամյա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սպորտային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միջոցառումներ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մրցույթներ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4)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ըստ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բնակության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վայրի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ինչպես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հասարակական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վայրերում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ֆիզիկական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կուլտուրայով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սպորտով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զբաղվելու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ստեղծում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համապատասխան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պայմաններ՝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Հայաստանի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սահմանած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կարգով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5)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նպաստում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ֆիզիկական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կուլտուրայի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սպորտի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զարգացմանը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իրականացնում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սպորտային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lastRenderedPageBreak/>
        <w:t>հրապարակների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մարզական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կառույցների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շինարարություն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ստեղծում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հանգստի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գոտիներ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6)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կազմակերպում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տարածքում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ամբուլատոր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բժշկական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ծառայության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գործունեությունը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7)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իրականացնում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գյուղատնտեսական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ռեսուրսների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հաշվառում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 8)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աջակցում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գյուղատնտեսության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ոլորտում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պետական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միջոցներով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աղբյուրների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հաշվին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իրականացվող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ծրագրերի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կազմակերպմանն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իրականացմանը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9)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աջակցում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տարածքում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բուսասանիտարական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հաշվառման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աշխատանքներին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անհրաժեշտության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դեպքում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բուսասանիտարիայի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բնագավառի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մարմնին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տրամադրում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հողօգտագործողների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վերաբերյալ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տվյալներ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Լիազորությունների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ապակենտրոնացում՝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մասնավորապես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կրթության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առողջապահության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բնագավառներում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Հանրակրթական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դպրոցների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գործունեության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կազմակերպումն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կառավարումը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հանձնել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25.000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ավելի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բնակիչ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ունեցող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համայնքներին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Բժշկական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ամբուլատորիաները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ամբողջությամբ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դարձնել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ենթակայության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նախագծ</w:t>
      </w:r>
      <w:r w:rsidR="00BE0FB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E0FB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հիմնական և միջնակարգ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դպրոցների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դրույթի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վերաբերյալ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սահմանվել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ուժի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մեջ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մտնելու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2020</w:t>
      </w:r>
      <w:r w:rsidR="00F37694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թվականի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հունվարի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1-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ից</w:t>
      </w:r>
      <w:r w:rsidR="00BE0FBE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(Գյումրիում և Վանաձորում՝ 2018 թվականի հունվարի 1-ից)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Գործող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կամավոր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բոլոր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լիազորությունները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ճանաչվում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ուժը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կորցրած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Կամավոր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խնդիրների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դրանց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լուծման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սահմանվող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սեփական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լիազորությունների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սահմանումը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պատվիրակելը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ղեկավարի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ոլորտային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լիազորություններում՝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հոդվածով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զբոսաշրջության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բնագավառում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լիազորություններ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սահմանելը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Հոդվածը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վերաբերում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զբոսաշրջային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հեռանկարներ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կարողություններ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ունեցող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համայնքներին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Նախագծով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սահմանվել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ակտերով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ինքնակառավարման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մարմինների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սահմանված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բոլոր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լիազորությունները՝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բացառությամբ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պետության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կողմից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պատվիրակած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լիազորությունների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B7062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ՏԻՄ-երը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իրականացնելու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որպես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սեփական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լիազորություններ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lastRenderedPageBreak/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Երևանի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օրինակով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նախագծով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սահմանվել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վարչական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սահմաններում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գտնվող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անշարժ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գույքի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դրան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հարակից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ընդհանուր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օգտագործման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տարածքների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պարտադիր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բարեկարգում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իրականացնելու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պարտավորություն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համապատասխան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սեփականատերերի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օգտագործողների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համար՝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ՀՀ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բոլոր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Նախագծով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նախատեսվում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սոցիալական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աշխատողի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ինստիտուտի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ներդնումը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 5000-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բնակիչ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ունեցող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438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համայնքապետարանի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աշխատակազմում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ստեղծվում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սոցիալական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F438C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աշխատողի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հաստիք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ղեկավարի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պաշտոնակատարի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վերաբերյալ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իրավակարգավորող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դրույթում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կատարվել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լրացում՝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="00F37694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, «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ղեկավարի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տեղակալի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պաշտոնը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թափուր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լինելու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այդ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պաշտոնի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բացակայության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պարագայում՝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ղեկավարի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կողմից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մեկ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ամսից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ավելի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ծառայողական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պարտականությունների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կատարման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անհնարինության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դեպքում՝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մինչև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դրա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առաջացնող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հանգամանքների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վերացումը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մարզպետը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նշանակում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ղեկավարի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պաշտոնակատար</w:t>
      </w:r>
      <w:r w:rsidR="00F37694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»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="00CE34B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շխատակազմի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վրա՝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բացի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ավագանու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որոշումները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յոթնօրյա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ժամկետում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մարզպետարան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առաքելու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պարտավորությունից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դրվում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է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նաև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նույն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ժամկետում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ղեկավարի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որոշումները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ևս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առաքելու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պարտականությունը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բյուջեի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գլխի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ամբողջական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համապատասխանեցում</w:t>
      </w:r>
      <w:r w:rsidR="00F37694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Բյուջետային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համակարգի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մասին</w:t>
      </w:r>
      <w:r w:rsidR="00F37694"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»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ՀՀ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օրենքին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:rsidR="00885ED7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Մարզպետի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և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կողմից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համայնքի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ղեկավարին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պաշտոնանկ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անելու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իրավունքի</w:t>
      </w:r>
      <w:r w:rsidRPr="007A09E1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դադարեցում</w:t>
      </w:r>
    </w:p>
    <w:p w:rsidR="00885ED7" w:rsidRPr="00885ED7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  <w:t>Վեց ամիս անընդմեջ ավագանու նիստ չհրավիրելու դեպքում, համայնքի ղեկավարի լիազորությունների վաղաժամկետ դադարեցում՝ վաղաժամկետ դադարեցման հիմքով՝ ՀՀ Կառավարության կողմից լիազոր մարմնի ներկայացմամբ.</w:t>
      </w:r>
    </w:p>
    <w:p w:rsidR="00885ED7" w:rsidRPr="00885ED7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  <w:t xml:space="preserve">ՏԻՄ-երի </w:t>
      </w:r>
      <w:r w:rsidR="00CE34B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լիազորությունների իրականացման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նկատմամբ իրավական և մասնագիտական հսկողության մեխանիզմների փոփոխություններ.</w:t>
      </w:r>
    </w:p>
    <w:p w:rsidR="00885ED7" w:rsidRPr="00885ED7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lastRenderedPageBreak/>
        <w:t>•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  <w:t xml:space="preserve">Տեղական ինքնակառավարման մարմինների </w:t>
      </w:r>
      <w:r w:rsidR="00CE34BA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լիազորությունների իրականացման 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նկատմամբ իրավական ու մասնագիտական հսկողության սկզբունքները,</w:t>
      </w:r>
    </w:p>
    <w:p w:rsidR="00885ED7" w:rsidRPr="00885ED7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  <w:t xml:space="preserve">Հսկողության մարմինները, </w:t>
      </w:r>
    </w:p>
    <w:p w:rsidR="00885ED7" w:rsidRPr="00885ED7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  <w:t>Հսկողություն իրականացնող մարմինների իրավասությունները</w:t>
      </w:r>
    </w:p>
    <w:p w:rsidR="00885ED7" w:rsidRPr="00885ED7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  <w:t>Միջհամայնքային միավորումների էության և միավորում կազմելու իրավունքի իրացման փոփոխություններ և հիմնման եղանակային  տարանջատումներ</w:t>
      </w:r>
    </w:p>
    <w:p w:rsidR="00885ED7" w:rsidRPr="00885ED7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  <w:t>Օրենքում նոր գլխով Գյումրի և Վանաձոր համայնքներում տեղական ինքնակառավարման առանձնահատկությունների սահմանումը.</w:t>
      </w:r>
    </w:p>
    <w:p w:rsidR="0042222F" w:rsidRPr="007A09E1" w:rsidRDefault="00885ED7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>•</w:t>
      </w:r>
      <w:r w:rsidRPr="00885ED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  <w:tab/>
        <w:t>Տեղական ինքնակառավարման և պետական մարմինների փոխհարաբերությունների խմբագրումը:</w:t>
      </w:r>
    </w:p>
    <w:p w:rsidR="0042222F" w:rsidRPr="007A09E1" w:rsidRDefault="0042222F" w:rsidP="004222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  <w:lang w:val="en-US"/>
        </w:rPr>
      </w:pPr>
    </w:p>
    <w:p w:rsidR="0042222F" w:rsidRPr="007A09E1" w:rsidRDefault="0042222F" w:rsidP="0042222F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</w:pPr>
      <w:r w:rsidRPr="0042222F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42222F" w:rsidRPr="007A09E1" w:rsidRDefault="0042222F" w:rsidP="0042222F">
      <w:pPr>
        <w:spacing w:after="0" w:line="240" w:lineRule="auto"/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</w:pPr>
    </w:p>
    <w:p w:rsidR="00D05CCE" w:rsidRPr="0042222F" w:rsidRDefault="00D05CCE" w:rsidP="00D05CC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42222F">
        <w:rPr>
          <w:rFonts w:ascii="GHEA Grapalat" w:hAnsi="GHEA Grapalat"/>
          <w:sz w:val="24"/>
          <w:szCs w:val="24"/>
          <w:lang w:val="hy-AM"/>
        </w:rPr>
        <w:t>Նախագիծը մշակվել է ՀՀ տարածքային կառավարման և զարգացման նախարարության կողմից</w:t>
      </w:r>
      <w:r w:rsidR="006D780F" w:rsidRPr="007A09E1">
        <w:rPr>
          <w:rFonts w:ascii="GHEA Grapalat" w:hAnsi="GHEA Grapalat"/>
          <w:sz w:val="24"/>
          <w:szCs w:val="24"/>
          <w:lang w:val="en-US"/>
        </w:rPr>
        <w:t>:</w:t>
      </w:r>
      <w:r w:rsidRPr="0042222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D780F" w:rsidRPr="007A09E1" w:rsidRDefault="006D780F" w:rsidP="006D780F">
      <w:pPr>
        <w:spacing w:after="0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 w:rsidRPr="006D780F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4. Ակնկալվող արդյունքը</w:t>
      </w:r>
    </w:p>
    <w:p w:rsidR="006D780F" w:rsidRPr="007A09E1" w:rsidRDefault="006D780F" w:rsidP="006D780F">
      <w:pPr>
        <w:spacing w:after="0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</w:p>
    <w:p w:rsidR="00EB7D55" w:rsidRPr="006D780F" w:rsidRDefault="00E31419" w:rsidP="00E31419">
      <w:pPr>
        <w:jc w:val="both"/>
        <w:rPr>
          <w:lang w:val="hy-AM"/>
        </w:rPr>
      </w:pPr>
      <w:r w:rsidRPr="00E31419">
        <w:rPr>
          <w:rFonts w:ascii="GHEA Grapalat" w:eastAsia="Times New Roman" w:hAnsi="GHEA Grapalat" w:cs="Sylfaen"/>
          <w:sz w:val="24"/>
          <w:szCs w:val="24"/>
          <w:lang w:val="hy-AM"/>
        </w:rPr>
        <w:t>Ներկայացված նախագծով նախատեսվող փոփոխությունների և լրացումների  ընդունման  արդյունքում կապահովվի Հայաստանի Հանրապետության Սահմանադրությամբ  ամրագրված մի շարք իրավակարգավորող փոփոխություննե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րի կատարումն ու </w:t>
      </w:r>
      <w:r w:rsidRPr="007A09E1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Տեղական ինքնակառավարման մասին</w:t>
      </w:r>
      <w:r w:rsidRPr="007A09E1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Pr="00E3141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Հայաստանի Հանրապետության օրենքի Սահմանադրությանն համապատասխանեցումը՝ դրանով իսկ ապահովելով  Հայաստանի Հանրապետության տեղական ինքնակառավարման համակարգի առաջիկա բարեփոխումների իրականացումը փոփոխված Սահմանադրության համատեքստում:</w:t>
      </w:r>
    </w:p>
    <w:sectPr w:rsidR="00EB7D55" w:rsidRPr="006D780F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D05CCE"/>
    <w:rsid w:val="00062107"/>
    <w:rsid w:val="00075BF9"/>
    <w:rsid w:val="000C61B2"/>
    <w:rsid w:val="001B5519"/>
    <w:rsid w:val="001F3939"/>
    <w:rsid w:val="0020506F"/>
    <w:rsid w:val="002D681A"/>
    <w:rsid w:val="002F438C"/>
    <w:rsid w:val="002F78CE"/>
    <w:rsid w:val="00316F3B"/>
    <w:rsid w:val="00333615"/>
    <w:rsid w:val="003B2E2D"/>
    <w:rsid w:val="003D5649"/>
    <w:rsid w:val="0042222F"/>
    <w:rsid w:val="004762F7"/>
    <w:rsid w:val="004C546A"/>
    <w:rsid w:val="005E2B56"/>
    <w:rsid w:val="005E5488"/>
    <w:rsid w:val="00644CF0"/>
    <w:rsid w:val="006D780F"/>
    <w:rsid w:val="007A09E1"/>
    <w:rsid w:val="00885ED7"/>
    <w:rsid w:val="009310BC"/>
    <w:rsid w:val="00980B52"/>
    <w:rsid w:val="00A46689"/>
    <w:rsid w:val="00B01375"/>
    <w:rsid w:val="00B204BE"/>
    <w:rsid w:val="00B6063B"/>
    <w:rsid w:val="00B7062C"/>
    <w:rsid w:val="00BE0FBE"/>
    <w:rsid w:val="00BE4F4E"/>
    <w:rsid w:val="00CE34BA"/>
    <w:rsid w:val="00D05CCE"/>
    <w:rsid w:val="00DE1916"/>
    <w:rsid w:val="00E31419"/>
    <w:rsid w:val="00EB7D55"/>
    <w:rsid w:val="00F37694"/>
    <w:rsid w:val="00FC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CE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5C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2016-08-15T10:03:00Z</dcterms:created>
  <dcterms:modified xsi:type="dcterms:W3CDTF">2016-08-30T11:36:00Z</dcterms:modified>
</cp:coreProperties>
</file>