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E0" w:rsidRPr="008F14AA" w:rsidRDefault="009056E0" w:rsidP="00C60AB4">
      <w:pPr>
        <w:spacing w:after="0" w:line="240" w:lineRule="auto"/>
        <w:ind w:firstLine="330"/>
        <w:jc w:val="right"/>
        <w:rPr>
          <w:rFonts w:ascii="GHEA Grapalat" w:hAnsi="GHEA Grapalat"/>
          <w:b/>
          <w:sz w:val="24"/>
          <w:szCs w:val="24"/>
        </w:rPr>
      </w:pPr>
      <w:r w:rsidRPr="008F14AA">
        <w:rPr>
          <w:rFonts w:ascii="GHEA Grapalat" w:hAnsi="GHEA Grapalat" w:cs="Sylfaen"/>
          <w:b/>
          <w:bCs/>
          <w:sz w:val="24"/>
          <w:szCs w:val="24"/>
        </w:rPr>
        <w:t>Հավելված</w:t>
      </w:r>
      <w:r w:rsidR="004F5089" w:rsidRPr="008F14AA">
        <w:rPr>
          <w:rFonts w:ascii="GHEA Grapalat" w:hAnsi="GHEA Grapalat" w:cs="Sylfaen"/>
          <w:b/>
          <w:bCs/>
          <w:sz w:val="24"/>
          <w:szCs w:val="24"/>
        </w:rPr>
        <w:t xml:space="preserve"> N 2</w:t>
      </w:r>
    </w:p>
    <w:p w:rsidR="004C2726" w:rsidRPr="008F14AA" w:rsidRDefault="009056E0" w:rsidP="00C60AB4">
      <w:pPr>
        <w:spacing w:after="0" w:line="240" w:lineRule="auto"/>
        <w:ind w:firstLine="330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8F14AA">
        <w:rPr>
          <w:rFonts w:ascii="GHEA Grapalat" w:hAnsi="GHEA Grapalat" w:cs="Sylfaen"/>
          <w:b/>
          <w:bCs/>
          <w:sz w:val="24"/>
          <w:szCs w:val="24"/>
        </w:rPr>
        <w:t>ՀՀ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201</w:t>
      </w:r>
      <w:r w:rsidR="00AD35C8">
        <w:rPr>
          <w:rFonts w:ascii="GHEA Grapalat" w:hAnsi="GHEA Grapalat"/>
          <w:b/>
          <w:bCs/>
          <w:sz w:val="24"/>
          <w:szCs w:val="24"/>
        </w:rPr>
        <w:t>5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b/>
          <w:bCs/>
          <w:sz w:val="24"/>
          <w:szCs w:val="24"/>
        </w:rPr>
        <w:t>թվականի</w:t>
      </w:r>
      <w:r w:rsidR="004C2726" w:rsidRPr="008F14AA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:rsidR="00B2241F" w:rsidRPr="008F14AA" w:rsidRDefault="002A7016" w:rsidP="00C60AB4">
      <w:pPr>
        <w:spacing w:after="0" w:line="240" w:lineRule="auto"/>
        <w:ind w:firstLine="330"/>
        <w:jc w:val="right"/>
        <w:rPr>
          <w:rFonts w:ascii="GHEA Grapalat" w:hAnsi="GHEA Grapalat" w:cs="Sylfaen"/>
          <w:bCs/>
          <w:sz w:val="24"/>
          <w:szCs w:val="24"/>
        </w:rPr>
      </w:pPr>
      <w:r w:rsidRPr="008F14AA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977DCF" w:rsidRPr="008F14AA">
        <w:rPr>
          <w:rFonts w:ascii="GHEA Grapalat" w:hAnsi="GHEA Grapalat" w:cs="Sylfaen"/>
          <w:b/>
          <w:bCs/>
          <w:sz w:val="24"/>
          <w:szCs w:val="24"/>
        </w:rPr>
        <w:t>___________</w:t>
      </w:r>
      <w:r w:rsidR="00F84D91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977DCF" w:rsidRPr="008F14AA">
        <w:rPr>
          <w:rFonts w:ascii="GHEA Grapalat" w:hAnsi="GHEA Grapalat" w:cs="Sylfaen"/>
          <w:b/>
          <w:bCs/>
          <w:sz w:val="24"/>
          <w:szCs w:val="24"/>
        </w:rPr>
        <w:t>____ -ի N ____-Ն որոշման</w:t>
      </w:r>
    </w:p>
    <w:p w:rsidR="00B2241F" w:rsidRDefault="00B2241F" w:rsidP="00C60AB4">
      <w:pPr>
        <w:spacing w:after="0" w:line="240" w:lineRule="auto"/>
        <w:ind w:firstLine="330"/>
        <w:jc w:val="center"/>
        <w:rPr>
          <w:rFonts w:ascii="GHEA Grapalat" w:hAnsi="GHEA Grapalat" w:cs="Sylfaen"/>
          <w:bCs/>
          <w:sz w:val="24"/>
          <w:szCs w:val="24"/>
        </w:rPr>
      </w:pPr>
    </w:p>
    <w:p w:rsidR="00C60AB4" w:rsidRPr="008F14AA" w:rsidRDefault="00C60AB4" w:rsidP="00C60AB4">
      <w:pPr>
        <w:spacing w:after="0" w:line="240" w:lineRule="auto"/>
        <w:ind w:firstLine="330"/>
        <w:jc w:val="center"/>
        <w:rPr>
          <w:rFonts w:ascii="GHEA Grapalat" w:hAnsi="GHEA Grapalat" w:cs="Sylfaen"/>
          <w:bCs/>
          <w:sz w:val="24"/>
          <w:szCs w:val="24"/>
        </w:rPr>
      </w:pPr>
    </w:p>
    <w:p w:rsidR="009056E0" w:rsidRPr="008F14AA" w:rsidRDefault="009056E0" w:rsidP="00C60AB4">
      <w:pPr>
        <w:spacing w:after="0" w:line="240" w:lineRule="auto"/>
        <w:ind w:firstLine="330"/>
        <w:jc w:val="center"/>
        <w:rPr>
          <w:rFonts w:ascii="GHEA Grapalat" w:hAnsi="GHEA Grapalat"/>
          <w:b/>
          <w:sz w:val="24"/>
          <w:szCs w:val="24"/>
        </w:rPr>
      </w:pPr>
      <w:r w:rsidRPr="008F14AA">
        <w:rPr>
          <w:rFonts w:ascii="GHEA Grapalat" w:hAnsi="GHEA Grapalat" w:cs="Sylfaen"/>
          <w:b/>
          <w:bCs/>
          <w:sz w:val="24"/>
          <w:szCs w:val="24"/>
        </w:rPr>
        <w:t>Կ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b/>
          <w:bCs/>
          <w:sz w:val="24"/>
          <w:szCs w:val="24"/>
        </w:rPr>
        <w:t>Ա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b/>
          <w:bCs/>
          <w:sz w:val="24"/>
          <w:szCs w:val="24"/>
        </w:rPr>
        <w:t>Ր</w:t>
      </w:r>
      <w:r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b/>
          <w:bCs/>
          <w:sz w:val="24"/>
          <w:szCs w:val="24"/>
        </w:rPr>
        <w:t>Գ</w:t>
      </w:r>
    </w:p>
    <w:p w:rsidR="009056E0" w:rsidRPr="008F14AA" w:rsidRDefault="009056E0" w:rsidP="00C60AB4">
      <w:pPr>
        <w:spacing w:after="0" w:line="240" w:lineRule="auto"/>
        <w:ind w:firstLine="330"/>
        <w:jc w:val="center"/>
        <w:rPr>
          <w:rFonts w:ascii="GHEA Grapalat" w:hAnsi="GHEA Grapalat"/>
          <w:b/>
          <w:sz w:val="24"/>
          <w:szCs w:val="24"/>
        </w:rPr>
      </w:pPr>
    </w:p>
    <w:p w:rsidR="009056E0" w:rsidRPr="008F14AA" w:rsidRDefault="00C61F04" w:rsidP="00C60AB4">
      <w:pPr>
        <w:spacing w:after="0" w:line="240" w:lineRule="auto"/>
        <w:ind w:firstLine="330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8F14AA">
        <w:rPr>
          <w:rFonts w:ascii="GHEA Grapalat" w:hAnsi="GHEA Grapalat" w:cs="Sylfaen"/>
          <w:b/>
          <w:bCs/>
          <w:sz w:val="24"/>
          <w:szCs w:val="24"/>
        </w:rPr>
        <w:t>ՀԱՅԱՍՏԱՆԻ ՀԱՆՐԱՊԵՏՈՒԹՅՈՒՆՈՒՄ</w:t>
      </w:r>
      <w:r w:rsidRPr="008F14AA">
        <w:rPr>
          <w:rFonts w:ascii="GHEA Grapalat" w:hAnsi="GHEA Grapalat" w:cs="Sylfaen"/>
          <w:b/>
          <w:sz w:val="24"/>
          <w:szCs w:val="24"/>
        </w:rPr>
        <w:t xml:space="preserve"> </w:t>
      </w:r>
      <w:r w:rsidR="009056E0" w:rsidRPr="008F14AA">
        <w:rPr>
          <w:rFonts w:ascii="GHEA Grapalat" w:hAnsi="GHEA Grapalat" w:cs="Sylfaen"/>
          <w:b/>
          <w:bCs/>
          <w:sz w:val="24"/>
          <w:szCs w:val="24"/>
        </w:rPr>
        <w:t>ՔԱՂԱՔԱՇԻՆԱԿԱՆ</w:t>
      </w:r>
      <w:r w:rsidR="009056E0"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56E0" w:rsidRPr="008F14AA">
        <w:rPr>
          <w:rFonts w:ascii="GHEA Grapalat" w:hAnsi="GHEA Grapalat" w:cs="Sylfaen"/>
          <w:b/>
          <w:bCs/>
          <w:sz w:val="24"/>
          <w:szCs w:val="24"/>
        </w:rPr>
        <w:t>ՓԱՍՏԱԹՂԹԵՐԻ</w:t>
      </w:r>
      <w:r w:rsidR="009056E0"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56E0" w:rsidRPr="008F14AA">
        <w:rPr>
          <w:rFonts w:ascii="GHEA Grapalat" w:hAnsi="GHEA Grapalat" w:cs="Sylfaen"/>
          <w:b/>
          <w:bCs/>
          <w:sz w:val="24"/>
          <w:szCs w:val="24"/>
        </w:rPr>
        <w:t>ՓՈՐՁԱՔՆՆՈՒԹՅԱՆ</w:t>
      </w:r>
      <w:r w:rsidR="009056E0" w:rsidRPr="008F14AA">
        <w:rPr>
          <w:rFonts w:ascii="GHEA Grapalat" w:hAnsi="GHEA Grapalat"/>
          <w:b/>
          <w:bCs/>
          <w:sz w:val="24"/>
          <w:szCs w:val="24"/>
        </w:rPr>
        <w:t xml:space="preserve"> </w:t>
      </w:r>
      <w:r w:rsidR="009056E0" w:rsidRPr="008F14AA">
        <w:rPr>
          <w:rFonts w:ascii="GHEA Grapalat" w:hAnsi="GHEA Grapalat" w:cs="Sylfaen"/>
          <w:b/>
          <w:bCs/>
          <w:sz w:val="24"/>
          <w:szCs w:val="24"/>
        </w:rPr>
        <w:t>ԻՐԱԿԱՆԱՑՄԱՆ</w:t>
      </w:r>
    </w:p>
    <w:p w:rsidR="00C61F04" w:rsidRPr="008F14AA" w:rsidRDefault="00C61F04" w:rsidP="00C60AB4">
      <w:pPr>
        <w:spacing w:after="0" w:line="240" w:lineRule="auto"/>
        <w:ind w:firstLine="330"/>
        <w:jc w:val="center"/>
        <w:rPr>
          <w:rFonts w:ascii="GHEA Grapalat" w:hAnsi="GHEA Grapalat"/>
          <w:sz w:val="24"/>
          <w:szCs w:val="24"/>
        </w:rPr>
      </w:pPr>
    </w:p>
    <w:p w:rsidR="00581CE8" w:rsidRPr="008F14AA" w:rsidRDefault="009056E0" w:rsidP="00F84D91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Սույն կարգով</w:t>
      </w:r>
      <w:r w:rsidR="00290AAD" w:rsidRPr="008F14AA">
        <w:rPr>
          <w:rFonts w:ascii="GHEA Grapalat" w:hAnsi="GHEA Grapalat" w:cs="Sylfaen"/>
          <w:sz w:val="24"/>
          <w:szCs w:val="24"/>
        </w:rPr>
        <w:t xml:space="preserve"> </w:t>
      </w:r>
      <w:r w:rsidR="00581CE8" w:rsidRPr="008F14AA">
        <w:rPr>
          <w:rFonts w:ascii="GHEA Grapalat" w:hAnsi="GHEA Grapalat" w:cs="Sylfaen"/>
          <w:sz w:val="24"/>
          <w:szCs w:val="24"/>
        </w:rPr>
        <w:t xml:space="preserve">կարգավորվում </w:t>
      </w:r>
      <w:r w:rsidR="00AE3F0E" w:rsidRPr="008F14AA">
        <w:rPr>
          <w:rFonts w:ascii="GHEA Grapalat" w:hAnsi="GHEA Grapalat" w:cs="Sylfaen"/>
          <w:sz w:val="24"/>
          <w:szCs w:val="24"/>
        </w:rPr>
        <w:t>են</w:t>
      </w:r>
      <w:r w:rsidR="00581CE8"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Հայաստանի Հանրապետությ</w:t>
      </w:r>
      <w:r w:rsidR="00DB6EFE" w:rsidRPr="008F14AA">
        <w:rPr>
          <w:rFonts w:ascii="GHEA Grapalat" w:hAnsi="GHEA Grapalat" w:cs="Sylfaen"/>
          <w:sz w:val="24"/>
          <w:szCs w:val="24"/>
        </w:rPr>
        <w:t>ունում</w:t>
      </w:r>
      <w:r w:rsidRPr="008F14AA">
        <w:rPr>
          <w:rFonts w:ascii="GHEA Grapalat" w:hAnsi="GHEA Grapalat" w:cs="Sylfaen"/>
          <w:sz w:val="24"/>
          <w:szCs w:val="24"/>
        </w:rPr>
        <w:t xml:space="preserve"> քաղաքաշինական ծրագրային և ճարտարապետաշինարարական նախագծային փաստաթղթերի (այսուհետ` քաղաքաշինական փաստաթղթեր) փորձաքննության իրականացման </w:t>
      </w:r>
      <w:r w:rsidR="00F74FCD" w:rsidRPr="008F14AA">
        <w:rPr>
          <w:rFonts w:ascii="GHEA Grapalat" w:hAnsi="GHEA Grapalat" w:cs="Sylfaen"/>
          <w:sz w:val="24"/>
          <w:szCs w:val="24"/>
        </w:rPr>
        <w:t xml:space="preserve">(այսուհետ` փորձաքննություն) </w:t>
      </w:r>
      <w:r w:rsidR="00F74FCD" w:rsidRPr="008F14AA">
        <w:rPr>
          <w:rFonts w:ascii="GHEA Grapalat" w:hAnsi="GHEA Grapalat" w:cs="Sylfaen"/>
          <w:sz w:val="24"/>
          <w:szCs w:val="24"/>
          <w:lang w:val="hy-AM"/>
        </w:rPr>
        <w:t>հետ կապված հարաբերությունները</w:t>
      </w:r>
      <w:r w:rsidRPr="008F14AA">
        <w:rPr>
          <w:rFonts w:ascii="GHEA Grapalat" w:hAnsi="GHEA Grapalat" w:cs="Sylfaen"/>
          <w:sz w:val="24"/>
          <w:szCs w:val="24"/>
        </w:rPr>
        <w:t>:</w:t>
      </w:r>
    </w:p>
    <w:p w:rsidR="00F74FCD" w:rsidRPr="008F14AA" w:rsidRDefault="00F74FCD" w:rsidP="00C60AB4">
      <w:pPr>
        <w:spacing w:after="0" w:line="240" w:lineRule="auto"/>
        <w:ind w:left="690"/>
        <w:jc w:val="both"/>
        <w:rPr>
          <w:rFonts w:ascii="GHEA Grapalat" w:hAnsi="GHEA Grapalat" w:cs="Sylfaen"/>
          <w:sz w:val="24"/>
          <w:szCs w:val="24"/>
        </w:rPr>
      </w:pPr>
    </w:p>
    <w:p w:rsidR="009056E0" w:rsidRPr="008F14AA" w:rsidRDefault="001950BD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Փ</w:t>
      </w:r>
      <w:r w:rsidR="009056E0" w:rsidRPr="008F14AA">
        <w:rPr>
          <w:rFonts w:ascii="GHEA Grapalat" w:hAnsi="GHEA Grapalat" w:cs="Sylfaen"/>
          <w:sz w:val="24"/>
          <w:szCs w:val="24"/>
        </w:rPr>
        <w:t>որձաքննության հիմնական նպատակը</w:t>
      </w:r>
      <w:r w:rsidRPr="008F14AA">
        <w:rPr>
          <w:rFonts w:ascii="GHEA Grapalat" w:hAnsi="GHEA Grapalat" w:cs="Sylfaen"/>
          <w:sz w:val="24"/>
          <w:szCs w:val="24"/>
        </w:rPr>
        <w:t>`</w:t>
      </w:r>
      <w:r w:rsidR="009056E0" w:rsidRPr="008F14AA">
        <w:rPr>
          <w:rFonts w:ascii="GHEA Grapalat" w:hAnsi="GHEA Grapalat" w:cs="Sylfaen"/>
          <w:sz w:val="24"/>
          <w:szCs w:val="24"/>
        </w:rPr>
        <w:t xml:space="preserve"> ընտրված նախագծային լուծումների համապատասխանության ապահովումն է Հայաստանի Հանրապետության oրենսդրության և նորմատիվատեխնիկական փաստաթղթերի պարտադիր պահանջներին:</w:t>
      </w:r>
    </w:p>
    <w:p w:rsidR="00B677D0" w:rsidRPr="008F14AA" w:rsidRDefault="00B677D0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</w:rPr>
      </w:pPr>
    </w:p>
    <w:p w:rsidR="00A23834" w:rsidRPr="008F14AA" w:rsidRDefault="009056E0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Քաղաքաշինական փաստաթղթերը, մինչև դրանց սահմանված կարգով համաձայնեցումն ու հաստատումը, ենթակա են փորձաքննության: Բացառություն են կազմում 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>Հ</w:t>
      </w:r>
      <w:r w:rsidR="00544112" w:rsidRPr="007C74CB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>Հ</w:t>
      </w:r>
      <w:r w:rsidR="00544112" w:rsidRPr="007C74C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</w:t>
      </w:r>
      <w:r w:rsidR="002251C8">
        <w:rPr>
          <w:rFonts w:ascii="GHEA Grapalat" w:hAnsi="GHEA Grapalat" w:cs="Sylfaen"/>
          <w:sz w:val="24"/>
          <w:szCs w:val="24"/>
        </w:rPr>
        <w:t>5</w:t>
      </w:r>
      <w:r w:rsidR="00544112" w:rsidRPr="007C7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>թ</w:t>
      </w:r>
      <w:r w:rsidR="00544112" w:rsidRPr="007C74CB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51C8">
        <w:rPr>
          <w:rFonts w:ascii="GHEA Grapalat" w:hAnsi="GHEA Grapalat" w:cs="Sylfaen"/>
          <w:sz w:val="24"/>
          <w:szCs w:val="24"/>
        </w:rPr>
        <w:t>…..</w:t>
      </w:r>
      <w:r w:rsidR="00544112" w:rsidRPr="007C7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4112">
        <w:rPr>
          <w:rFonts w:ascii="GHEA Grapalat" w:hAnsi="GHEA Grapalat" w:cs="Sylfaen"/>
          <w:sz w:val="24"/>
          <w:szCs w:val="24"/>
          <w:lang w:val="hy-AM"/>
        </w:rPr>
        <w:t>…</w:t>
      </w:r>
      <w:r w:rsidR="00B1465C">
        <w:rPr>
          <w:rFonts w:ascii="GHEA Grapalat" w:hAnsi="GHEA Grapalat" w:cs="Sylfaen"/>
          <w:sz w:val="24"/>
          <w:szCs w:val="24"/>
          <w:lang w:val="hy-AM"/>
        </w:rPr>
        <w:t>-ի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="00544112">
        <w:rPr>
          <w:rFonts w:ascii="GHEA Grapalat" w:hAnsi="GHEA Grapalat" w:cs="Sylfaen"/>
          <w:sz w:val="24"/>
          <w:szCs w:val="24"/>
          <w:lang w:val="hy-AM"/>
        </w:rPr>
        <w:t>…</w:t>
      </w:r>
      <w:r w:rsidR="00544112" w:rsidRPr="00F85517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="00544112" w:rsidRPr="008F14AA">
        <w:rPr>
          <w:rFonts w:ascii="GHEA Grapalat" w:hAnsi="GHEA Grapalat" w:cs="Sylfaen"/>
          <w:sz w:val="24"/>
          <w:szCs w:val="24"/>
        </w:rPr>
        <w:t xml:space="preserve"> </w:t>
      </w:r>
      <w:r w:rsidR="00AF7EBE" w:rsidRPr="008F14AA">
        <w:rPr>
          <w:rFonts w:ascii="GHEA Grapalat" w:hAnsi="GHEA Grapalat" w:cs="Sylfaen"/>
          <w:sz w:val="24"/>
          <w:szCs w:val="24"/>
        </w:rPr>
        <w:t>N4</w:t>
      </w:r>
      <w:r w:rsidRPr="008F14AA">
        <w:rPr>
          <w:rFonts w:ascii="GHEA Grapalat" w:hAnsi="GHEA Grapalat" w:cs="Sylfaen"/>
          <w:sz w:val="24"/>
          <w:szCs w:val="24"/>
        </w:rPr>
        <w:t xml:space="preserve"> </w:t>
      </w:r>
      <w:r w:rsidR="00FB68C3" w:rsidRPr="008F14AA">
        <w:rPr>
          <w:rFonts w:ascii="GHEA Grapalat" w:hAnsi="GHEA Grapalat" w:cs="Sylfaen"/>
          <w:sz w:val="24"/>
          <w:szCs w:val="24"/>
        </w:rPr>
        <w:t>Հ</w:t>
      </w:r>
      <w:r w:rsidRPr="008F14AA">
        <w:rPr>
          <w:rFonts w:ascii="GHEA Grapalat" w:hAnsi="GHEA Grapalat" w:cs="Sylfaen"/>
          <w:sz w:val="24"/>
          <w:szCs w:val="24"/>
        </w:rPr>
        <w:t>ավելված</w:t>
      </w:r>
      <w:r w:rsidR="00AF7EBE" w:rsidRPr="008F14AA">
        <w:rPr>
          <w:rFonts w:ascii="GHEA Grapalat" w:hAnsi="GHEA Grapalat" w:cs="Sylfaen"/>
          <w:sz w:val="24"/>
          <w:szCs w:val="24"/>
        </w:rPr>
        <w:t>ի</w:t>
      </w:r>
      <w:r w:rsidR="00D37A5E" w:rsidRPr="008F14AA">
        <w:rPr>
          <w:rFonts w:ascii="GHEA Grapalat" w:hAnsi="GHEA Grapalat" w:cs="Sylfaen"/>
          <w:sz w:val="24"/>
          <w:szCs w:val="24"/>
        </w:rPr>
        <w:t xml:space="preserve"> (այսուհետ` N4 Հավելված)</w:t>
      </w:r>
      <w:r w:rsidR="00AF7EBE" w:rsidRPr="008F14AA">
        <w:rPr>
          <w:rFonts w:ascii="GHEA Grapalat" w:hAnsi="GHEA Grapalat" w:cs="Sylfaen"/>
          <w:sz w:val="24"/>
          <w:szCs w:val="24"/>
        </w:rPr>
        <w:t xml:space="preserve"> </w:t>
      </w:r>
      <w:r w:rsidR="00FB68C3" w:rsidRPr="008F14AA">
        <w:rPr>
          <w:rFonts w:ascii="GHEA Grapalat" w:hAnsi="GHEA Grapalat" w:cs="Sylfaen"/>
          <w:sz w:val="24"/>
          <w:szCs w:val="24"/>
        </w:rPr>
        <w:t>N</w:t>
      </w:r>
      <w:r w:rsidR="00AF7EBE" w:rsidRPr="008F14AA">
        <w:rPr>
          <w:rFonts w:ascii="GHEA Grapalat" w:hAnsi="GHEA Grapalat" w:cs="Sylfaen"/>
          <w:sz w:val="24"/>
          <w:szCs w:val="24"/>
        </w:rPr>
        <w:t>1</w:t>
      </w:r>
      <w:r w:rsidR="00FB68C3" w:rsidRPr="008F14AA">
        <w:rPr>
          <w:rFonts w:ascii="GHEA Grapalat" w:hAnsi="GHEA Grapalat" w:cs="Sylfaen"/>
          <w:sz w:val="24"/>
          <w:szCs w:val="24"/>
        </w:rPr>
        <w:t xml:space="preserve"> </w:t>
      </w:r>
      <w:r w:rsidR="00DB6EFE" w:rsidRPr="008F14AA">
        <w:rPr>
          <w:rFonts w:ascii="GHEA Grapalat" w:hAnsi="GHEA Grapalat" w:cs="Sylfaen"/>
          <w:sz w:val="24"/>
          <w:szCs w:val="24"/>
        </w:rPr>
        <w:t xml:space="preserve">և </w:t>
      </w:r>
      <w:r w:rsidR="00643255" w:rsidRPr="008F14AA">
        <w:rPr>
          <w:rFonts w:ascii="GHEA Grapalat" w:hAnsi="GHEA Grapalat" w:cs="Sylfaen"/>
          <w:sz w:val="24"/>
          <w:szCs w:val="24"/>
        </w:rPr>
        <w:t>N2</w:t>
      </w:r>
      <w:r w:rsidR="001950BD" w:rsidRPr="008F14AA">
        <w:rPr>
          <w:rFonts w:ascii="GHEA Grapalat" w:hAnsi="GHEA Grapalat" w:cs="Sylfaen"/>
          <w:sz w:val="24"/>
          <w:szCs w:val="24"/>
        </w:rPr>
        <w:t xml:space="preserve"> </w:t>
      </w:r>
      <w:r w:rsidR="00DB6EFE" w:rsidRPr="008F14AA">
        <w:rPr>
          <w:rFonts w:ascii="GHEA Grapalat" w:hAnsi="GHEA Grapalat" w:cs="Sylfaen"/>
          <w:sz w:val="24"/>
          <w:szCs w:val="24"/>
        </w:rPr>
        <w:t xml:space="preserve">ցանկերով </w:t>
      </w:r>
      <w:r w:rsidRPr="008F14AA">
        <w:rPr>
          <w:rFonts w:ascii="GHEA Grapalat" w:hAnsi="GHEA Grapalat" w:cs="Sylfaen"/>
          <w:sz w:val="24"/>
          <w:szCs w:val="24"/>
        </w:rPr>
        <w:t>սահմանված</w:t>
      </w:r>
      <w:r w:rsidR="004C2726" w:rsidRPr="008F14AA">
        <w:rPr>
          <w:rFonts w:ascii="GHEA Grapalat" w:hAnsi="GHEA Grapalat" w:cs="Sylfaen"/>
          <w:sz w:val="24"/>
          <w:szCs w:val="24"/>
        </w:rPr>
        <w:t>`</w:t>
      </w:r>
      <w:r w:rsidRPr="008F14AA">
        <w:rPr>
          <w:rFonts w:ascii="GHEA Grapalat" w:hAnsi="GHEA Grapalat" w:cs="Sylfaen"/>
          <w:sz w:val="24"/>
          <w:szCs w:val="24"/>
        </w:rPr>
        <w:t xml:space="preserve"> ցածր ռիսկայնության աստիճանի (I կատեգորիայի) </w:t>
      </w:r>
      <w:r w:rsidR="00AF7EBE" w:rsidRPr="008F14AA">
        <w:rPr>
          <w:rFonts w:ascii="GHEA Grapalat" w:hAnsi="GHEA Grapalat" w:cs="Sylfaen"/>
          <w:sz w:val="24"/>
          <w:szCs w:val="24"/>
        </w:rPr>
        <w:t xml:space="preserve">և </w:t>
      </w:r>
      <w:r w:rsidR="00DB6EFE" w:rsidRPr="008F14AA">
        <w:rPr>
          <w:rFonts w:ascii="GHEA Grapalat" w:hAnsi="GHEA Grapalat" w:cs="Sylfaen"/>
          <w:sz w:val="24"/>
          <w:szCs w:val="24"/>
        </w:rPr>
        <w:t>միջին ռիսկայնության աստիճանի (II կատեգորիայի)</w:t>
      </w:r>
      <w:r w:rsidR="00A23834" w:rsidRPr="008F14AA">
        <w:rPr>
          <w:rFonts w:ascii="GHEA Grapalat" w:hAnsi="GHEA Grapalat" w:cs="Sylfaen"/>
          <w:sz w:val="24"/>
          <w:szCs w:val="24"/>
        </w:rPr>
        <w:t xml:space="preserve"> </w:t>
      </w:r>
      <w:r w:rsidR="00D37A5E" w:rsidRPr="008F14AA">
        <w:rPr>
          <w:rFonts w:ascii="GHEA Grapalat" w:hAnsi="GHEA Grapalat" w:cs="Sylfaen"/>
          <w:sz w:val="24"/>
          <w:szCs w:val="24"/>
        </w:rPr>
        <w:t xml:space="preserve">դասակարգում ունեցող </w:t>
      </w:r>
      <w:r w:rsidR="00A23834" w:rsidRPr="008F14AA">
        <w:rPr>
          <w:rFonts w:ascii="GHEA Grapalat" w:hAnsi="GHEA Grapalat" w:cs="Sylfaen"/>
          <w:sz w:val="24"/>
          <w:szCs w:val="24"/>
        </w:rPr>
        <w:t>օբյեկտների նախագծային փաստաթղթերը: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C2726" w:rsidRPr="008F14AA" w:rsidRDefault="00A23834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Մ</w:t>
      </w:r>
      <w:r w:rsidR="004C2726" w:rsidRPr="008F14AA">
        <w:rPr>
          <w:rFonts w:ascii="GHEA Grapalat" w:hAnsi="GHEA Grapalat" w:cs="Sylfaen"/>
          <w:sz w:val="24"/>
          <w:szCs w:val="24"/>
        </w:rPr>
        <w:t>իջին ռիսկայնության աստիճանի (II կատեգորիայի) դասակարգում ունեցող օբյեկտների նախագծային փաստաթղթեր</w:t>
      </w:r>
      <w:r w:rsidRPr="008F14AA">
        <w:rPr>
          <w:rFonts w:ascii="GHEA Grapalat" w:hAnsi="GHEA Grapalat" w:cs="Sylfaen"/>
          <w:sz w:val="24"/>
          <w:szCs w:val="24"/>
        </w:rPr>
        <w:t xml:space="preserve">ի </w:t>
      </w:r>
      <w:r w:rsidR="004C2726" w:rsidRPr="008F14AA">
        <w:rPr>
          <w:rFonts w:ascii="GHEA Grapalat" w:hAnsi="GHEA Grapalat" w:cs="Sylfaen"/>
          <w:sz w:val="24"/>
          <w:szCs w:val="24"/>
        </w:rPr>
        <w:t xml:space="preserve">փորձաքննությունը </w:t>
      </w:r>
      <w:r w:rsidR="009175C8">
        <w:rPr>
          <w:rFonts w:ascii="GHEA Grapalat" w:hAnsi="GHEA Grapalat" w:cs="Sylfaen"/>
          <w:sz w:val="24"/>
          <w:szCs w:val="24"/>
        </w:rPr>
        <w:t xml:space="preserve">կարող է </w:t>
      </w:r>
      <w:r w:rsidR="004C2726" w:rsidRPr="008F14AA">
        <w:rPr>
          <w:rFonts w:ascii="GHEA Grapalat" w:hAnsi="GHEA Grapalat" w:cs="Sylfaen"/>
          <w:sz w:val="24"/>
          <w:szCs w:val="24"/>
        </w:rPr>
        <w:t>փոխարինվ</w:t>
      </w:r>
      <w:r w:rsidR="009175C8">
        <w:rPr>
          <w:rFonts w:ascii="GHEA Grapalat" w:hAnsi="GHEA Grapalat" w:cs="Sylfaen"/>
          <w:sz w:val="24"/>
          <w:szCs w:val="24"/>
        </w:rPr>
        <w:t>ել</w:t>
      </w:r>
      <w:r w:rsidR="004C2726" w:rsidRPr="008F14AA">
        <w:rPr>
          <w:rFonts w:ascii="GHEA Grapalat" w:hAnsi="GHEA Grapalat" w:cs="Sylfaen"/>
          <w:sz w:val="24"/>
          <w:szCs w:val="24"/>
        </w:rPr>
        <w:t xml:space="preserve"> Հայաստանի Հանրապետության oրենսդրության և նորմատիվատեխնիկական փաստաթղթերի պահանջներին նախագծի համապատասխանության վերաբերյալ նախագիծը թողարկող աշխատանքների պատասխանատու կապալառուի գրավոր երաշխավորագրով</w:t>
      </w:r>
      <w:r w:rsidR="008609D0">
        <w:rPr>
          <w:rFonts w:ascii="GHEA Grapalat" w:hAnsi="GHEA Grapalat" w:cs="Sylfaen"/>
          <w:sz w:val="24"/>
          <w:szCs w:val="24"/>
        </w:rPr>
        <w:t>,</w:t>
      </w:r>
      <w:r w:rsidR="009175C8">
        <w:rPr>
          <w:rFonts w:ascii="GHEA Grapalat" w:hAnsi="GHEA Grapalat" w:cs="Sylfaen"/>
          <w:sz w:val="24"/>
          <w:szCs w:val="24"/>
        </w:rPr>
        <w:t xml:space="preserve"> եթե նման պայման նախատեսված է կապալի պայմանագրով</w:t>
      </w:r>
      <w:r w:rsidR="004C2726" w:rsidRPr="008F14AA">
        <w:rPr>
          <w:rFonts w:ascii="GHEA Grapalat" w:hAnsi="GHEA Grapalat" w:cs="Sylfaen"/>
          <w:sz w:val="24"/>
          <w:szCs w:val="24"/>
        </w:rPr>
        <w:t>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C2726" w:rsidRPr="008F14AA" w:rsidRDefault="001950BD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Փ</w:t>
      </w:r>
      <w:r w:rsidR="004C2726" w:rsidRPr="008F14AA">
        <w:rPr>
          <w:rFonts w:ascii="GHEA Grapalat" w:hAnsi="GHEA Grapalat" w:cs="Sylfaen"/>
          <w:sz w:val="24"/>
          <w:szCs w:val="24"/>
        </w:rPr>
        <w:t>որձաքննություն կարող են իրականացնել Հայաստանի Հանրապետության oրենսդրությամբ սահմանված կարգով քաղաքաշինության բնագավառում քաղաքաշինական փաստաթղթերի փորձաքննության գործունեության լիցենզիա ունեցող անձինք (այսուհետ` փորձագիտական մարմին), ինչպես նաև բարձրագույն ռիսկայնության աստիճանի (V կատեգորիայի) դասակարգում ունեցող օբյեկտի հատուկ համալիր փորձաքննության իրականացման համար Հայաստանի Հանրապետության կառավարության որոշմամբ ստեղծված ժամանակավոր փորձաքննական հանձնաժողովը: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bookmarkEnd w:id="0"/>
    </w:p>
    <w:p w:rsidR="004C2726" w:rsidRPr="008F14AA" w:rsidRDefault="004C2726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Քաղաքաշինական փաստաթղթերի մշակմանը մասնակցած նախագծային կազմակերպությունները կամ անձինք չեն կարող կատարել կամ ներգրավվել իրենց կողմից մշակված նախագծերի փորձաքննությանը: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C2726" w:rsidRPr="008F14AA" w:rsidRDefault="004C2726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Քաղաքաշինական փաստաթղթերը փորձաքննության են ներկայացվում կառուցապատողի կամ նրա կողմից լիազորված անձի կողմից, ինչպես նաև նախագիծը </w:t>
      </w:r>
      <w:r w:rsidRPr="008F14AA">
        <w:rPr>
          <w:rFonts w:ascii="GHEA Grapalat" w:hAnsi="GHEA Grapalat" w:cs="Sylfaen"/>
          <w:sz w:val="24"/>
          <w:szCs w:val="24"/>
        </w:rPr>
        <w:lastRenderedPageBreak/>
        <w:t>թողարկող աշխատանքների պատասխանատու կապալառուի կողմից (այսուհետ` պատվիրատու), եթե այդպիսի պայման նախատեսված է նախագծային կապալի պայմանագրով: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E041FE" w:rsidRPr="008F14AA" w:rsidRDefault="001950BD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Փ</w:t>
      </w:r>
      <w:r w:rsidR="00E041FE" w:rsidRPr="008F14AA">
        <w:rPr>
          <w:rFonts w:ascii="GHEA Grapalat" w:hAnsi="GHEA Grapalat" w:cs="Sylfaen"/>
          <w:sz w:val="24"/>
          <w:szCs w:val="24"/>
        </w:rPr>
        <w:t>որձաքննությունն անցկացվում է պատվիրատուի և փորձագիտական մարմնի միջև կնքված պայմանագրի հիման վրա:</w:t>
      </w:r>
    </w:p>
    <w:p w:rsidR="00B677D0" w:rsidRPr="008F14AA" w:rsidRDefault="00B677D0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E041FE" w:rsidRPr="008F14AA" w:rsidRDefault="00E041FE" w:rsidP="00C60AB4">
      <w:pPr>
        <w:numPr>
          <w:ilvl w:val="0"/>
          <w:numId w:val="7"/>
        </w:numPr>
        <w:tabs>
          <w:tab w:val="clear" w:pos="1050"/>
          <w:tab w:val="num" w:pos="993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Ելնելով քաղաքաշինական փաստաթղթերի նշանակությունից, ինչպես նաև դրանցով իրականացվող քաղաքաշինական oբյեկտների բարդությունից` իրականացվում են փորձաքննության հետևյալ տեսակները`</w:t>
      </w:r>
    </w:p>
    <w:p w:rsidR="00A86085" w:rsidRPr="008F14AA" w:rsidRDefault="00A86085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E041FE" w:rsidRPr="008F14AA" w:rsidRDefault="00E041FE" w:rsidP="00C60AB4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պարզ փորձաքննություն`</w:t>
      </w:r>
      <w:r w:rsidR="00A86085"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միջինից բարձր ռիսկայնության աստիճանի (III կատեգորիայի) դասակարգում ունեցող օբյեկտների մասով.</w:t>
      </w:r>
    </w:p>
    <w:p w:rsidR="00E041FE" w:rsidRPr="008F14AA" w:rsidRDefault="00E041FE" w:rsidP="00C60AB4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համալիր փորձաքննություն` բարձր ռիսկայնության աստիճանի (IV կատեգորիայի) դասակարգում ունեցող օբյեկտների մասով.</w:t>
      </w:r>
    </w:p>
    <w:p w:rsidR="00E041FE" w:rsidRPr="008F14AA" w:rsidRDefault="00E041FE" w:rsidP="00C60AB4">
      <w:pPr>
        <w:numPr>
          <w:ilvl w:val="0"/>
          <w:numId w:val="9"/>
        </w:numPr>
        <w:spacing w:after="0" w:line="240" w:lineRule="auto"/>
        <w:ind w:left="993" w:hanging="284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հատուկ համալիր փորձաքննություն</w:t>
      </w:r>
      <w:r w:rsidR="001950BD" w:rsidRPr="008F14AA">
        <w:rPr>
          <w:rFonts w:ascii="GHEA Grapalat" w:hAnsi="GHEA Grapalat" w:cs="Sylfaen"/>
          <w:sz w:val="24"/>
          <w:szCs w:val="24"/>
        </w:rPr>
        <w:t>`</w:t>
      </w:r>
      <w:r w:rsidRPr="008F14AA">
        <w:rPr>
          <w:rFonts w:ascii="GHEA Grapalat" w:hAnsi="GHEA Grapalat" w:cs="Sylfaen"/>
          <w:sz w:val="24"/>
          <w:szCs w:val="24"/>
        </w:rPr>
        <w:t xml:space="preserve"> բարձրագույն ռիսկայնության աստիճանի (V կատեգորիայի) դասակարգում ունեցող օբյեկտների մասով:</w:t>
      </w:r>
    </w:p>
    <w:p w:rsidR="00872990" w:rsidRPr="008F14AA" w:rsidRDefault="00872990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</w:rPr>
      </w:pPr>
    </w:p>
    <w:p w:rsidR="000625F1" w:rsidRPr="008F14AA" w:rsidRDefault="00872990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Նախագծային փաստաթղթերի պարզ փորձաքննություն</w:t>
      </w:r>
      <w:r w:rsidR="00A23834" w:rsidRPr="008F14AA">
        <w:rPr>
          <w:rFonts w:ascii="GHEA Grapalat" w:hAnsi="GHEA Grapalat" w:cs="Sylfaen"/>
          <w:sz w:val="24"/>
          <w:szCs w:val="24"/>
        </w:rPr>
        <w:t>ն</w:t>
      </w:r>
      <w:r w:rsidRPr="008F14AA">
        <w:rPr>
          <w:rFonts w:ascii="GHEA Grapalat" w:hAnsi="GHEA Grapalat" w:cs="Sylfaen"/>
          <w:sz w:val="24"/>
          <w:szCs w:val="24"/>
        </w:rPr>
        <w:t xml:space="preserve"> </w:t>
      </w:r>
      <w:r w:rsidR="001B6298" w:rsidRPr="008F14AA">
        <w:rPr>
          <w:rFonts w:ascii="GHEA Grapalat" w:hAnsi="GHEA Grapalat" w:cs="Sylfaen"/>
          <w:sz w:val="24"/>
          <w:szCs w:val="24"/>
        </w:rPr>
        <w:t xml:space="preserve">իրականացվում </w:t>
      </w:r>
      <w:r w:rsidRPr="008F14AA">
        <w:rPr>
          <w:rFonts w:ascii="GHEA Grapalat" w:hAnsi="GHEA Grapalat" w:cs="Sylfaen"/>
          <w:sz w:val="24"/>
          <w:szCs w:val="24"/>
        </w:rPr>
        <w:t xml:space="preserve">է քաղաքաշինական oբյեկտի ճարտարապետաշինարարական և արտաքին ու ներքին ինժեներական համակարգերի հուսալիության, կայունության, անվտանգության, ինչպես նաև մարդկանց առողջության ապահովմանն ուղղված </w:t>
      </w:r>
      <w:r w:rsidR="00F94A93" w:rsidRPr="008F14AA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Pr="008F14AA">
        <w:rPr>
          <w:rFonts w:ascii="GHEA Grapalat" w:hAnsi="GHEA Grapalat" w:cs="Sylfaen"/>
          <w:sz w:val="24"/>
          <w:szCs w:val="24"/>
        </w:rPr>
        <w:t xml:space="preserve">օրենսդրական և նորմատիվատեխնիկական փաստաթղթերի </w:t>
      </w:r>
      <w:r w:rsidR="001B6298" w:rsidRPr="008F14AA">
        <w:rPr>
          <w:rFonts w:ascii="GHEA Grapalat" w:hAnsi="GHEA Grapalat" w:cs="Sylfaen"/>
          <w:sz w:val="24"/>
          <w:szCs w:val="24"/>
        </w:rPr>
        <w:t xml:space="preserve">պարտադիր </w:t>
      </w:r>
      <w:r w:rsidRPr="008F14AA">
        <w:rPr>
          <w:rFonts w:ascii="GHEA Grapalat" w:hAnsi="GHEA Grapalat" w:cs="Sylfaen"/>
          <w:sz w:val="24"/>
          <w:szCs w:val="24"/>
        </w:rPr>
        <w:t xml:space="preserve">պահանջներին` նախագծային փաստաթղթերի համապատասխանությունը հավաստելու </w:t>
      </w:r>
      <w:r w:rsidR="000625F1" w:rsidRPr="008F14AA">
        <w:rPr>
          <w:rFonts w:ascii="GHEA Grapalat" w:hAnsi="GHEA Grapalat" w:cs="Sylfaen"/>
          <w:sz w:val="24"/>
          <w:szCs w:val="24"/>
        </w:rPr>
        <w:t>համար բավարար ծավալով</w:t>
      </w:r>
      <w:r w:rsidR="001950BD" w:rsidRPr="008F14AA">
        <w:rPr>
          <w:rFonts w:ascii="GHEA Grapalat" w:hAnsi="GHEA Grapalat" w:cs="Sylfaen"/>
          <w:sz w:val="24"/>
          <w:szCs w:val="24"/>
        </w:rPr>
        <w:t>:</w:t>
      </w:r>
    </w:p>
    <w:p w:rsidR="000625F1" w:rsidRPr="008F14AA" w:rsidRDefault="000625F1" w:rsidP="00C60AB4">
      <w:pPr>
        <w:spacing w:after="0" w:line="240" w:lineRule="auto"/>
        <w:ind w:firstLine="330"/>
        <w:rPr>
          <w:rFonts w:ascii="GHEA Grapalat" w:hAnsi="GHEA Grapalat" w:cs="Sylfaen"/>
          <w:sz w:val="24"/>
          <w:szCs w:val="24"/>
        </w:rPr>
      </w:pPr>
    </w:p>
    <w:p w:rsidR="00A23834" w:rsidRPr="008F14AA" w:rsidRDefault="00A23834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Նախագիծը թողարկող աշխատանքների պատասխանատու կապալառուի գրավոր երաշխավորագիր</w:t>
      </w:r>
      <w:r w:rsidR="00D27512" w:rsidRPr="008F14AA">
        <w:rPr>
          <w:rFonts w:ascii="GHEA Grapalat" w:hAnsi="GHEA Grapalat" w:cs="Sylfaen"/>
          <w:sz w:val="24"/>
          <w:szCs w:val="24"/>
        </w:rPr>
        <w:t>ը պետք է պարունակի սույն կարգի 10</w:t>
      </w:r>
      <w:r w:rsidRPr="008F14AA">
        <w:rPr>
          <w:rFonts w:ascii="GHEA Grapalat" w:hAnsi="GHEA Grapalat" w:cs="Sylfaen"/>
          <w:sz w:val="24"/>
          <w:szCs w:val="24"/>
        </w:rPr>
        <w:t>-րդ կետով սահմանված պարտադիր պահանջներին` նախագծային փաստաթղթերի համապատասխանությունն ապահովող բավարար երաշխիքներ:</w:t>
      </w:r>
    </w:p>
    <w:p w:rsidR="00A23834" w:rsidRPr="008F14AA" w:rsidRDefault="00A23834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18413A" w:rsidRPr="008F14AA" w:rsidRDefault="003952C7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Բ</w:t>
      </w:r>
      <w:r w:rsidR="0018413A" w:rsidRPr="008F14AA">
        <w:rPr>
          <w:rFonts w:ascii="GHEA Grapalat" w:hAnsi="GHEA Grapalat" w:cs="Sylfaen"/>
          <w:sz w:val="24"/>
          <w:szCs w:val="24"/>
        </w:rPr>
        <w:t xml:space="preserve">ազմակի (կրկնակի) </w:t>
      </w:r>
      <w:r w:rsidR="00D27512" w:rsidRPr="008F14AA">
        <w:rPr>
          <w:rFonts w:ascii="GHEA Grapalat" w:hAnsi="GHEA Grapalat" w:cs="Sylfaen"/>
          <w:sz w:val="24"/>
          <w:szCs w:val="24"/>
        </w:rPr>
        <w:t xml:space="preserve">կիրառման օրինակելի նախագծերի և </w:t>
      </w:r>
      <w:r w:rsidR="00977DCF" w:rsidRPr="008F14AA">
        <w:rPr>
          <w:rFonts w:ascii="GHEA Grapalat" w:hAnsi="GHEA Grapalat" w:cs="Sylfaen"/>
          <w:sz w:val="24"/>
          <w:szCs w:val="24"/>
        </w:rPr>
        <w:t>«</w:t>
      </w:r>
      <w:r w:rsidRPr="008F14AA">
        <w:rPr>
          <w:rFonts w:ascii="GHEA Grapalat" w:hAnsi="GHEA Grapalat" w:cs="Sylfaen"/>
          <w:sz w:val="24"/>
          <w:szCs w:val="24"/>
        </w:rPr>
        <w:t>սերտիֆիկացված</w:t>
      </w:r>
      <w:r w:rsidR="00977DCF" w:rsidRPr="008F14AA">
        <w:rPr>
          <w:rFonts w:ascii="GHEA Grapalat" w:hAnsi="GHEA Grapalat" w:cs="Sylfaen"/>
          <w:sz w:val="24"/>
          <w:szCs w:val="24"/>
        </w:rPr>
        <w:t>»</w:t>
      </w:r>
      <w:r w:rsidRPr="008F14AA">
        <w:rPr>
          <w:rFonts w:ascii="GHEA Grapalat" w:hAnsi="GHEA Grapalat" w:cs="Sylfaen"/>
          <w:sz w:val="24"/>
          <w:szCs w:val="24"/>
        </w:rPr>
        <w:t xml:space="preserve"> նախագծերի կիրառման </w:t>
      </w:r>
      <w:r w:rsidR="0018413A" w:rsidRPr="008F14AA">
        <w:rPr>
          <w:rFonts w:ascii="GHEA Grapalat" w:hAnsi="GHEA Grapalat" w:cs="Sylfaen"/>
          <w:sz w:val="24"/>
          <w:szCs w:val="24"/>
        </w:rPr>
        <w:t xml:space="preserve">դեպքում փորձաքննության են ենթակա միայն oբյեկտի զրոյական նիշից ներքև տեղակայված կառուցվածքների նախագծային փաստաթղթերը (տեղակապման նախագծերը): Ընդ որում, </w:t>
      </w:r>
      <w:r w:rsidRPr="008F14AA">
        <w:rPr>
          <w:rFonts w:ascii="GHEA Grapalat" w:hAnsi="GHEA Grapalat" w:cs="Sylfaen"/>
          <w:sz w:val="24"/>
          <w:szCs w:val="24"/>
        </w:rPr>
        <w:t xml:space="preserve">II կատեգորիայի դասակարգում ունեցող </w:t>
      </w:r>
      <w:r w:rsidR="00D37A5E" w:rsidRPr="008F14AA">
        <w:rPr>
          <w:rFonts w:ascii="GHEA Grapalat" w:hAnsi="GHEA Grapalat" w:cs="Sylfaen"/>
          <w:sz w:val="24"/>
          <w:szCs w:val="24"/>
        </w:rPr>
        <w:t xml:space="preserve">սույն կետով նշված </w:t>
      </w:r>
      <w:r w:rsidRPr="008F14AA">
        <w:rPr>
          <w:rFonts w:ascii="GHEA Grapalat" w:hAnsi="GHEA Grapalat" w:cs="Sylfaen"/>
          <w:sz w:val="24"/>
          <w:szCs w:val="24"/>
        </w:rPr>
        <w:t xml:space="preserve">օբյեկտների </w:t>
      </w:r>
      <w:r w:rsidR="0018413A" w:rsidRPr="008F14AA">
        <w:rPr>
          <w:rFonts w:ascii="GHEA Grapalat" w:hAnsi="GHEA Grapalat" w:cs="Sylfaen"/>
          <w:sz w:val="24"/>
          <w:szCs w:val="24"/>
        </w:rPr>
        <w:t xml:space="preserve">տեղակապման նախագծերի փորձաքննությունը </w:t>
      </w:r>
      <w:r w:rsidRPr="008F14AA">
        <w:rPr>
          <w:rFonts w:ascii="GHEA Grapalat" w:hAnsi="GHEA Grapalat" w:cs="Sylfaen"/>
          <w:sz w:val="24"/>
          <w:szCs w:val="24"/>
        </w:rPr>
        <w:t>ևս</w:t>
      </w:r>
      <w:r w:rsidR="0018413A" w:rsidRPr="008F14AA">
        <w:rPr>
          <w:rFonts w:ascii="GHEA Grapalat" w:hAnsi="GHEA Grapalat" w:cs="Sylfaen"/>
          <w:sz w:val="24"/>
          <w:szCs w:val="24"/>
        </w:rPr>
        <w:t xml:space="preserve"> </w:t>
      </w:r>
      <w:r w:rsidR="009175C8">
        <w:rPr>
          <w:rFonts w:ascii="GHEA Grapalat" w:hAnsi="GHEA Grapalat" w:cs="Sylfaen"/>
          <w:sz w:val="24"/>
          <w:szCs w:val="24"/>
        </w:rPr>
        <w:t xml:space="preserve">կարող է </w:t>
      </w:r>
      <w:r w:rsidR="0018413A" w:rsidRPr="008F14AA">
        <w:rPr>
          <w:rFonts w:ascii="GHEA Grapalat" w:hAnsi="GHEA Grapalat" w:cs="Sylfaen"/>
          <w:sz w:val="24"/>
          <w:szCs w:val="24"/>
        </w:rPr>
        <w:t>փոխարինվ</w:t>
      </w:r>
      <w:r w:rsidR="009175C8">
        <w:rPr>
          <w:rFonts w:ascii="GHEA Grapalat" w:hAnsi="GHEA Grapalat" w:cs="Sylfaen"/>
          <w:sz w:val="24"/>
          <w:szCs w:val="24"/>
        </w:rPr>
        <w:t>ել</w:t>
      </w:r>
      <w:r w:rsidR="0018413A" w:rsidRPr="008F14AA">
        <w:rPr>
          <w:rFonts w:ascii="GHEA Grapalat" w:hAnsi="GHEA Grapalat" w:cs="Sylfaen"/>
          <w:sz w:val="24"/>
          <w:szCs w:val="24"/>
        </w:rPr>
        <w:t xml:space="preserve"> երաշխավորագրով:</w:t>
      </w:r>
    </w:p>
    <w:p w:rsidR="00B2241F" w:rsidRPr="008F14AA" w:rsidRDefault="00B2241F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0F673A" w:rsidRPr="008F14AA" w:rsidRDefault="00D95701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Համալիր փորձաքննության ենթակա են քաղաքաշինական այն նախագծային փաստաթղթերը, որոնցով, բացի  քաղաքաշինական </w:t>
      </w:r>
      <w:r w:rsidR="00FD59E3" w:rsidRPr="008F14AA">
        <w:rPr>
          <w:rFonts w:ascii="GHEA Grapalat" w:hAnsi="GHEA Grapalat" w:cs="Sylfaen"/>
          <w:sz w:val="24"/>
          <w:szCs w:val="24"/>
        </w:rPr>
        <w:t xml:space="preserve">նորմերին համապատասխանության </w:t>
      </w:r>
      <w:r w:rsidR="000F673A" w:rsidRPr="008F14AA">
        <w:rPr>
          <w:rFonts w:ascii="GHEA Grapalat" w:hAnsi="GHEA Grapalat" w:cs="Sylfaen"/>
          <w:sz w:val="24"/>
          <w:szCs w:val="24"/>
        </w:rPr>
        <w:t>անհրաժեշտությունից</w:t>
      </w:r>
      <w:r w:rsidRPr="008F14AA">
        <w:rPr>
          <w:rFonts w:ascii="GHEA Grapalat" w:hAnsi="GHEA Grapalat" w:cs="Sylfaen"/>
          <w:sz w:val="24"/>
          <w:szCs w:val="24"/>
        </w:rPr>
        <w:t xml:space="preserve">, </w:t>
      </w:r>
      <w:r w:rsidR="00FD59E3" w:rsidRPr="008F14AA">
        <w:rPr>
          <w:rFonts w:ascii="GHEA Grapalat" w:hAnsi="GHEA Grapalat" w:cs="Sylfaen"/>
          <w:sz w:val="24"/>
          <w:szCs w:val="24"/>
        </w:rPr>
        <w:t xml:space="preserve">օրենքով </w:t>
      </w:r>
      <w:r w:rsidRPr="008F14AA">
        <w:rPr>
          <w:rFonts w:ascii="GHEA Grapalat" w:hAnsi="GHEA Grapalat" w:cs="Sylfaen"/>
          <w:sz w:val="24"/>
          <w:szCs w:val="24"/>
        </w:rPr>
        <w:t>պահանջվում է նաև շրջակա միջավայրի</w:t>
      </w:r>
      <w:r w:rsidR="00FD59E3" w:rsidRPr="008F14AA">
        <w:rPr>
          <w:rFonts w:ascii="GHEA Grapalat" w:hAnsi="GHEA Grapalat" w:cs="Sylfaen"/>
          <w:sz w:val="24"/>
          <w:szCs w:val="24"/>
        </w:rPr>
        <w:t xml:space="preserve">, </w:t>
      </w:r>
      <w:r w:rsidRPr="008F14AA">
        <w:rPr>
          <w:rFonts w:ascii="GHEA Grapalat" w:hAnsi="GHEA Grapalat" w:cs="Sylfaen"/>
          <w:sz w:val="24"/>
          <w:szCs w:val="24"/>
        </w:rPr>
        <w:t xml:space="preserve">պատմության և մշակույթի հուշարձանների պահպանության, արտակարգ իրավիճակների (հրդեհների, պայթյունների, փլուզումների և այլն) կանխարգելման, կապի համակարգերի, տրանսպորտային, էներգետիկ ու ինժեներական այլ ենթակառուցվածքների, արդյունաբերական անվտանգության, ընդերքի արդյունավետ oգտագործման, տեխնոլոգիական, սանիտարահիգիենիկ </w:t>
      </w:r>
      <w:r w:rsidR="0011381F" w:rsidRPr="008F14AA">
        <w:rPr>
          <w:rFonts w:ascii="GHEA Grapalat" w:hAnsi="GHEA Grapalat" w:cs="Sylfaen"/>
          <w:sz w:val="24"/>
          <w:szCs w:val="24"/>
        </w:rPr>
        <w:t>պահանջների ապահով</w:t>
      </w:r>
      <w:r w:rsidR="000F673A" w:rsidRPr="008F14AA">
        <w:rPr>
          <w:rFonts w:ascii="GHEA Grapalat" w:hAnsi="GHEA Grapalat" w:cs="Sylfaen"/>
          <w:sz w:val="24"/>
          <w:szCs w:val="24"/>
        </w:rPr>
        <w:t xml:space="preserve">ման նկատմամբ </w:t>
      </w:r>
      <w:r w:rsidR="000F673A" w:rsidRPr="008F14AA">
        <w:rPr>
          <w:rFonts w:ascii="GHEA Grapalat" w:hAnsi="GHEA Grapalat" w:cs="Sylfaen"/>
          <w:sz w:val="24"/>
          <w:szCs w:val="24"/>
        </w:rPr>
        <w:lastRenderedPageBreak/>
        <w:t>համապատասխան ոլորտին առնչվող փորձագիտական կամ մասնագիտական եզրակացության կամ համաձայնեցման տրամադրում</w:t>
      </w:r>
      <w:r w:rsidR="001950BD" w:rsidRPr="008F14AA">
        <w:rPr>
          <w:rFonts w:ascii="GHEA Grapalat" w:hAnsi="GHEA Grapalat" w:cs="Sylfaen"/>
          <w:sz w:val="24"/>
          <w:szCs w:val="24"/>
        </w:rPr>
        <w:t>:</w:t>
      </w:r>
    </w:p>
    <w:p w:rsidR="00B2241F" w:rsidRPr="008F14AA" w:rsidRDefault="00B2241F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B677D0" w:rsidRPr="008F14AA" w:rsidRDefault="00D95701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Համալիր փորձաքննություն</w:t>
      </w:r>
      <w:r w:rsidR="0035374E" w:rsidRPr="008F14AA">
        <w:rPr>
          <w:rFonts w:ascii="GHEA Grapalat" w:hAnsi="GHEA Grapalat" w:cs="Sylfaen"/>
          <w:sz w:val="24"/>
          <w:szCs w:val="24"/>
        </w:rPr>
        <w:t>ն</w:t>
      </w:r>
      <w:r w:rsidRPr="008F14AA">
        <w:rPr>
          <w:rFonts w:ascii="GHEA Grapalat" w:hAnsi="GHEA Grapalat" w:cs="Sylfaen"/>
          <w:sz w:val="24"/>
          <w:szCs w:val="24"/>
        </w:rPr>
        <w:t xml:space="preserve"> իրականացվում է շրջակա միջավայրի վրա ազդեցության փորձաքննության, ինչպես նաև Հայաստանի Հանրապետության oրենսդրությամբ համապատասխան փորձագիտական և (կամ)</w:t>
      </w:r>
      <w:r w:rsidR="00C55D5A" w:rsidRPr="008F14AA">
        <w:rPr>
          <w:rFonts w:ascii="GHEA Grapalat" w:hAnsi="GHEA Grapalat" w:cs="Sylfaen"/>
          <w:sz w:val="24"/>
          <w:szCs w:val="24"/>
        </w:rPr>
        <w:t xml:space="preserve"> </w:t>
      </w:r>
      <w:r w:rsidR="00C062D3" w:rsidRPr="008F14AA">
        <w:rPr>
          <w:rFonts w:ascii="GHEA Grapalat" w:hAnsi="GHEA Grapalat" w:cs="Sylfaen"/>
          <w:sz w:val="24"/>
          <w:szCs w:val="24"/>
        </w:rPr>
        <w:t xml:space="preserve">սույն կարգի </w:t>
      </w:r>
      <w:r w:rsidR="00C55D5A" w:rsidRPr="008F14AA">
        <w:rPr>
          <w:rFonts w:ascii="GHEA Grapalat" w:hAnsi="GHEA Grapalat" w:cs="Sylfaen"/>
          <w:sz w:val="24"/>
          <w:szCs w:val="24"/>
        </w:rPr>
        <w:t>13-րդ կետում նշված</w:t>
      </w:r>
      <w:r w:rsidR="00C55D5A" w:rsidRPr="00F84D91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համապատասխան ոլորտին առնչվող մասնագիտական եզրակացություն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 կամ համաձայնություն</w:t>
      </w:r>
      <w:r w:rsidRPr="008F14AA">
        <w:rPr>
          <w:rFonts w:ascii="GHEA Grapalat" w:hAnsi="GHEA Grapalat" w:cs="Sylfaen"/>
          <w:sz w:val="24"/>
          <w:szCs w:val="24"/>
        </w:rPr>
        <w:t xml:space="preserve"> տալու իրավասությամբ oժտված շահագրգիռ պետական մարմինների (այսուհետ` շահագրգիռ մարմիններ) մասնակցությամբ:</w:t>
      </w:r>
    </w:p>
    <w:p w:rsidR="009C3BE3" w:rsidRPr="008F14AA" w:rsidRDefault="009C3BE3" w:rsidP="00C60AB4">
      <w:pPr>
        <w:pStyle w:val="ListParagraph"/>
        <w:spacing w:after="0" w:line="240" w:lineRule="auto"/>
        <w:rPr>
          <w:rFonts w:ascii="GHEA Grapalat" w:hAnsi="GHEA Grapalat" w:cs="Sylfaen"/>
          <w:sz w:val="24"/>
          <w:szCs w:val="24"/>
        </w:rPr>
      </w:pPr>
    </w:p>
    <w:p w:rsidR="009C3BE3" w:rsidRPr="008F14AA" w:rsidRDefault="009C3BE3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N4 Հավելվածի հատուկ</w:t>
      </w:r>
      <w:r w:rsidR="00E70F23" w:rsidRPr="008F14AA">
        <w:rPr>
          <w:rFonts w:ascii="GHEA Grapalat" w:hAnsi="GHEA Grapalat" w:cs="Sylfaen"/>
          <w:sz w:val="24"/>
          <w:szCs w:val="24"/>
        </w:rPr>
        <w:t xml:space="preserve"> նշանակության</w:t>
      </w:r>
      <w:r w:rsidRPr="008F14AA">
        <w:rPr>
          <w:rFonts w:ascii="GHEA Grapalat" w:hAnsi="GHEA Grapalat" w:cs="Sylfaen"/>
          <w:sz w:val="24"/>
          <w:szCs w:val="24"/>
        </w:rPr>
        <w:t xml:space="preserve"> օբյեկտների </w:t>
      </w:r>
      <w:r w:rsidRPr="00F84D91">
        <w:rPr>
          <w:rFonts w:ascii="GHEA Grapalat" w:hAnsi="GHEA Grapalat" w:cs="Sylfaen"/>
          <w:sz w:val="24"/>
          <w:szCs w:val="24"/>
        </w:rPr>
        <w:t>N</w:t>
      </w:r>
      <w:r w:rsidR="00E70F23" w:rsidRPr="00F84D91">
        <w:rPr>
          <w:rFonts w:ascii="GHEA Grapalat" w:hAnsi="GHEA Grapalat" w:cs="Sylfaen"/>
          <w:sz w:val="24"/>
          <w:szCs w:val="24"/>
        </w:rPr>
        <w:t>3</w:t>
      </w:r>
      <w:r w:rsidRPr="008F14AA">
        <w:rPr>
          <w:rFonts w:ascii="GHEA Grapalat" w:hAnsi="GHEA Grapalat" w:cs="Sylfaen"/>
          <w:sz w:val="24"/>
          <w:szCs w:val="24"/>
        </w:rPr>
        <w:t xml:space="preserve"> ցանկով ներառված</w:t>
      </w:r>
      <w:r w:rsidRPr="00F84D91">
        <w:rPr>
          <w:rFonts w:ascii="GHEA Grapalat" w:hAnsi="GHEA Grapalat" w:cs="Sylfaen"/>
          <w:sz w:val="24"/>
          <w:szCs w:val="24"/>
        </w:rPr>
        <w:t xml:space="preserve"> պատմության և մշակույթի հուշարձան հանդիսացող կառույցների կամ պատմամշակութային հուշարձանի պահպանական գոտում</w:t>
      </w:r>
      <w:r w:rsidRPr="008F14AA">
        <w:rPr>
          <w:rFonts w:ascii="GHEA Grapalat" w:hAnsi="GHEA Grapalat" w:cs="Sylfaen"/>
          <w:sz w:val="24"/>
          <w:szCs w:val="24"/>
        </w:rPr>
        <w:t xml:space="preserve"> կառուցվող օբյեկտների համար պարտադիր է </w:t>
      </w:r>
      <w:r w:rsidRPr="00F84D91">
        <w:rPr>
          <w:rFonts w:ascii="GHEA Grapalat" w:hAnsi="GHEA Grapalat" w:cs="Sylfaen"/>
          <w:sz w:val="24"/>
          <w:szCs w:val="24"/>
        </w:rPr>
        <w:t>պատմության և մշակույթի անշարժ հուշարձանների պահպանության ու օգտագործման բնագավառներում կառավարումն իրականացնող լիազորված մարմնի</w:t>
      </w:r>
      <w:r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F84D91">
        <w:rPr>
          <w:rFonts w:ascii="GHEA Grapalat" w:hAnsi="GHEA Grapalat" w:cs="Sylfaen"/>
          <w:sz w:val="24"/>
          <w:szCs w:val="24"/>
        </w:rPr>
        <w:t>մասնագիտական եզրակացությ</w:t>
      </w:r>
      <w:r w:rsidRPr="008F14AA">
        <w:rPr>
          <w:rFonts w:ascii="GHEA Grapalat" w:hAnsi="GHEA Grapalat" w:cs="Sylfaen"/>
          <w:sz w:val="24"/>
          <w:szCs w:val="24"/>
        </w:rPr>
        <w:t>ու</w:t>
      </w:r>
      <w:r w:rsidRPr="00F84D91">
        <w:rPr>
          <w:rFonts w:ascii="GHEA Grapalat" w:hAnsi="GHEA Grapalat" w:cs="Sylfaen"/>
          <w:sz w:val="24"/>
          <w:szCs w:val="24"/>
        </w:rPr>
        <w:t>ն</w:t>
      </w:r>
      <w:r w:rsidRPr="008F14AA">
        <w:rPr>
          <w:rFonts w:ascii="GHEA Grapalat" w:hAnsi="GHEA Grapalat" w:cs="Sylfaen"/>
          <w:sz w:val="24"/>
          <w:szCs w:val="24"/>
        </w:rPr>
        <w:t>ը:</w:t>
      </w:r>
    </w:p>
    <w:p w:rsidR="00B2241F" w:rsidRPr="008F14AA" w:rsidRDefault="00B2241F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:rsidR="00DF1FC7" w:rsidRPr="008F14AA" w:rsidRDefault="00DF1FC7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Համալիր փորձաքննության ենթակա են`</w:t>
      </w:r>
    </w:p>
    <w:p w:rsidR="00701ACA" w:rsidRPr="008F14AA" w:rsidRDefault="00701ACA" w:rsidP="00C60AB4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</w:rPr>
      </w:pPr>
    </w:p>
    <w:p w:rsidR="00C015A0" w:rsidRPr="008F14AA" w:rsidRDefault="00DF1FC7" w:rsidP="00C60AB4">
      <w:pPr>
        <w:numPr>
          <w:ilvl w:val="0"/>
          <w:numId w:val="11"/>
        </w:numPr>
        <w:tabs>
          <w:tab w:val="left" w:pos="1134"/>
        </w:tabs>
        <w:spacing w:after="0" w:line="240" w:lineRule="auto"/>
        <w:ind w:hanging="11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քաղաքաշինական ծրագրային (տարածական պլանավորման) փաստաթղթերը.</w:t>
      </w:r>
    </w:p>
    <w:p w:rsidR="00C015A0" w:rsidRPr="008F14AA" w:rsidRDefault="00502C5B" w:rsidP="00C60AB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նոր տեխնոլոգիաների կիրառմամբ </w:t>
      </w:r>
      <w:r w:rsidR="00DF1FC7" w:rsidRPr="008F14AA">
        <w:rPr>
          <w:rFonts w:ascii="GHEA Grapalat" w:hAnsi="GHEA Grapalat" w:cs="Sylfaen"/>
          <w:sz w:val="24"/>
          <w:szCs w:val="24"/>
        </w:rPr>
        <w:t>փորձարարական oբյեկտների նախագծային փաստաթղթերը.</w:t>
      </w:r>
    </w:p>
    <w:p w:rsidR="00DF1FC7" w:rsidRPr="008F14AA" w:rsidRDefault="00184FBC" w:rsidP="00C60AB4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N4</w:t>
      </w:r>
      <w:r w:rsidR="00C015A0" w:rsidRPr="008F14AA">
        <w:rPr>
          <w:rFonts w:ascii="GHEA Grapalat" w:hAnsi="GHEA Grapalat" w:cs="Sylfaen"/>
          <w:sz w:val="24"/>
          <w:szCs w:val="24"/>
        </w:rPr>
        <w:t xml:space="preserve"> </w:t>
      </w:r>
      <w:r w:rsidR="00977DCF" w:rsidRPr="008F14AA">
        <w:rPr>
          <w:rFonts w:ascii="GHEA Grapalat" w:hAnsi="GHEA Grapalat" w:cs="Sylfaen"/>
          <w:sz w:val="24"/>
          <w:szCs w:val="24"/>
        </w:rPr>
        <w:t>Հ</w:t>
      </w:r>
      <w:r w:rsidR="00701ACA" w:rsidRPr="008F14AA">
        <w:rPr>
          <w:rFonts w:ascii="GHEA Grapalat" w:hAnsi="GHEA Grapalat" w:cs="Sylfaen"/>
          <w:sz w:val="24"/>
          <w:szCs w:val="24"/>
        </w:rPr>
        <w:t>ավելված</w:t>
      </w:r>
      <w:r w:rsidR="00E0012F" w:rsidRPr="008F14AA">
        <w:rPr>
          <w:rFonts w:ascii="GHEA Grapalat" w:hAnsi="GHEA Grapalat" w:cs="Sylfaen"/>
          <w:sz w:val="24"/>
          <w:szCs w:val="24"/>
        </w:rPr>
        <w:t xml:space="preserve">ի </w:t>
      </w:r>
      <w:r w:rsidR="00977DCF" w:rsidRPr="008F14AA">
        <w:rPr>
          <w:rFonts w:ascii="GHEA Grapalat" w:hAnsi="GHEA Grapalat" w:cs="Sylfaen"/>
          <w:sz w:val="24"/>
          <w:szCs w:val="24"/>
          <w:lang w:val="en-GB"/>
        </w:rPr>
        <w:t>N</w:t>
      </w:r>
      <w:r w:rsidR="00C015A0" w:rsidRPr="008F14AA">
        <w:rPr>
          <w:rFonts w:ascii="GHEA Grapalat" w:hAnsi="GHEA Grapalat" w:cs="Sylfaen"/>
          <w:sz w:val="24"/>
          <w:szCs w:val="24"/>
        </w:rPr>
        <w:t>3</w:t>
      </w:r>
      <w:r w:rsidR="00E0012F" w:rsidRPr="008F14AA">
        <w:rPr>
          <w:rFonts w:ascii="GHEA Grapalat" w:hAnsi="GHEA Grapalat" w:cs="Sylfaen"/>
          <w:sz w:val="24"/>
          <w:szCs w:val="24"/>
        </w:rPr>
        <w:t xml:space="preserve"> ցանկով</w:t>
      </w:r>
      <w:r w:rsidR="00701ACA" w:rsidRPr="008F14AA">
        <w:rPr>
          <w:rFonts w:ascii="GHEA Grapalat" w:hAnsi="GHEA Grapalat" w:cs="Sylfaen"/>
          <w:sz w:val="24"/>
          <w:szCs w:val="24"/>
        </w:rPr>
        <w:t xml:space="preserve"> սահմանված բարձր ռիսկայնության աստիճանի (IV կատեգորիայի) դասակարգում ունեցող 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կարևորագույն </w:t>
      </w:r>
      <w:r w:rsidR="00C015A0" w:rsidRPr="008F14AA">
        <w:rPr>
          <w:rFonts w:ascii="GHEA Grapalat" w:hAnsi="GHEA Grapalat" w:cs="Sylfaen"/>
          <w:sz w:val="24"/>
          <w:szCs w:val="24"/>
        </w:rPr>
        <w:t xml:space="preserve">(այդ թվում` սեյսմիկ պաշտպանության բնագավառի կարևոր) նշանակություն ունեցող </w:t>
      </w:r>
      <w:r w:rsidR="00701ACA" w:rsidRPr="008F14AA">
        <w:rPr>
          <w:rFonts w:ascii="GHEA Grapalat" w:hAnsi="GHEA Grapalat" w:cs="Sylfaen"/>
          <w:sz w:val="24"/>
          <w:szCs w:val="24"/>
        </w:rPr>
        <w:t xml:space="preserve">օբյեկտների նախագծային </w:t>
      </w:r>
      <w:r w:rsidR="00147957" w:rsidRPr="008F14AA">
        <w:rPr>
          <w:rFonts w:ascii="GHEA Grapalat" w:hAnsi="GHEA Grapalat" w:cs="Sylfaen"/>
          <w:sz w:val="24"/>
          <w:szCs w:val="24"/>
        </w:rPr>
        <w:t>փաստաթղթերը</w:t>
      </w:r>
      <w:r w:rsidR="0011381F" w:rsidRPr="008F14AA">
        <w:rPr>
          <w:rFonts w:ascii="GHEA Grapalat" w:hAnsi="GHEA Grapalat" w:cs="Sylfaen"/>
          <w:sz w:val="24"/>
          <w:szCs w:val="24"/>
        </w:rPr>
        <w:t>:</w:t>
      </w:r>
    </w:p>
    <w:p w:rsidR="009C3BE3" w:rsidRPr="008F14AA" w:rsidRDefault="009C3BE3" w:rsidP="00C60AB4">
      <w:pPr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Պատվիրատուի նախաձեռնությամբ`</w:t>
      </w:r>
      <w:r w:rsidR="008E7178"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համալիր փորձաքննության կարող են ենթարկվել նաև ավելի ցածր ռիսկայնության աստիճանի  (կատեգորիայի) դասակարգում ունեցող օբյեկտների նախագծային փաստաթղթերը` փորձագիտական մարմնի և պատվիրատուի միջև կնքվող պայմանագր</w:t>
      </w:r>
      <w:r w:rsidR="0011381F" w:rsidRPr="008F14AA">
        <w:rPr>
          <w:rFonts w:ascii="GHEA Grapalat" w:hAnsi="GHEA Grapalat" w:cs="Sylfaen"/>
          <w:sz w:val="24"/>
          <w:szCs w:val="24"/>
        </w:rPr>
        <w:t>ում այդպիսի պայման նախատեսելու դեպքում</w:t>
      </w:r>
      <w:r w:rsidRPr="008F14AA">
        <w:rPr>
          <w:rFonts w:ascii="GHEA Grapalat" w:hAnsi="GHEA Grapalat" w:cs="Sylfaen"/>
          <w:sz w:val="24"/>
          <w:szCs w:val="24"/>
        </w:rPr>
        <w:t>:</w:t>
      </w:r>
    </w:p>
    <w:p w:rsidR="00130291" w:rsidRPr="008F14AA" w:rsidRDefault="00130291" w:rsidP="00F84D91">
      <w:pPr>
        <w:spacing w:after="0" w:line="240" w:lineRule="auto"/>
        <w:ind w:left="690"/>
        <w:jc w:val="both"/>
        <w:rPr>
          <w:rFonts w:ascii="GHEA Grapalat" w:hAnsi="GHEA Grapalat" w:cs="Sylfaen"/>
          <w:sz w:val="24"/>
          <w:szCs w:val="24"/>
        </w:rPr>
      </w:pPr>
    </w:p>
    <w:p w:rsidR="00B01F08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Համալիր փորձաքննություն իրականացնելիս`</w:t>
      </w:r>
      <w:r w:rsidR="0011381F"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փորձագիտական մարմինը նախապատրաստում է փորձաքննական եզրակացություն` հաշվի առնելով շրջակա միջավայրի վրա ազդեցության փորձաքննության, ինչպես նաև սույն կարգի</w:t>
      </w:r>
      <w:r w:rsidR="00C015A0" w:rsidRPr="008F14AA">
        <w:rPr>
          <w:rFonts w:ascii="GHEA Grapalat" w:hAnsi="GHEA Grapalat" w:cs="Sylfaen"/>
          <w:sz w:val="24"/>
          <w:szCs w:val="24"/>
        </w:rPr>
        <w:t xml:space="preserve"> </w:t>
      </w:r>
      <w:r w:rsidR="00E70F23" w:rsidRPr="008F14AA">
        <w:rPr>
          <w:rFonts w:ascii="GHEA Grapalat" w:hAnsi="GHEA Grapalat" w:cs="Sylfaen"/>
          <w:sz w:val="24"/>
          <w:szCs w:val="24"/>
        </w:rPr>
        <w:t>20</w:t>
      </w:r>
      <w:r w:rsidRPr="008F14AA">
        <w:rPr>
          <w:rFonts w:ascii="GHEA Grapalat" w:hAnsi="GHEA Grapalat" w:cs="Sylfaen"/>
          <w:sz w:val="24"/>
          <w:szCs w:val="24"/>
        </w:rPr>
        <w:t xml:space="preserve">-րդ կետում նշված այլ շահագրգիռ մարմինների դրական եզրակացությունները: 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Քաղաքաշինական ծրագրային (տարածական պլանավորման) փաստաթղթերը համալիր փորձաքննության են ներկայացվում նախագծվող տարածքի սեյսմաշրջանացման կամ սեյսմամիկրոշրջանացման (կախված տարածական պլանավորման փաստաթղթի մասշտաբից)` սեյսմիկ պաշտպանության բնագավառի լիազոր մարմնի կողմից հաստատված քարտեզների ներառմամբ: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Պատվիրատուի նախաձեռնությամբ քաղաքաշինական փաստաթղթերի համալիր փորձաքննության իրականացման նպատակով կարող են ստեղծվել միջգերատեսչական փորձագիտական հանձնաժողովներ (այսուհետ` հանձնաժողով)` քաղաքաշինական փաստաթղթերի փորձագիտական մարմնի և այլ շահագրգիռ մարմինների ներգրավմամբ: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08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Հանձնաժողով կարող է ստեղծվել նաև </w:t>
      </w:r>
      <w:r w:rsidR="00313771" w:rsidRPr="008F14AA">
        <w:rPr>
          <w:rFonts w:ascii="GHEA Grapalat" w:hAnsi="GHEA Grapalat" w:cs="Sylfaen"/>
          <w:sz w:val="24"/>
          <w:szCs w:val="24"/>
        </w:rPr>
        <w:t>համալիր փորձաքննություն իրականացնող և շահագրգիռ փորձագիտական մարմինների կողմից</w:t>
      </w:r>
      <w:r w:rsidRPr="008F14AA">
        <w:rPr>
          <w:rFonts w:ascii="GHEA Grapalat" w:hAnsi="GHEA Grapalat" w:cs="Sylfaen"/>
          <w:sz w:val="24"/>
          <w:szCs w:val="24"/>
        </w:rPr>
        <w:t xml:space="preserve">` փոխադարձ համաձայնությամբ (համաձայնեցնելով պատվիրատուի հետ): Եթե այդպիսի հանձնաժողով չի ստեղծվում, ապա շահագրգիռ մարմինները, ըստ համապատասխան բնագավառների, իրենց եզրակացությունները տրամադրում են պատվիրատուին, որը դրանք ներառում է սույն կարգի </w:t>
      </w:r>
      <w:r w:rsidRPr="000A6BB5">
        <w:rPr>
          <w:rFonts w:ascii="GHEA Grapalat" w:hAnsi="GHEA Grapalat" w:cs="Sylfaen"/>
          <w:sz w:val="24"/>
          <w:szCs w:val="24"/>
        </w:rPr>
        <w:t>3</w:t>
      </w:r>
      <w:r w:rsidR="000A6BB5" w:rsidRPr="000A6BB5">
        <w:rPr>
          <w:rFonts w:ascii="GHEA Grapalat" w:hAnsi="GHEA Grapalat" w:cs="Sylfaen"/>
          <w:sz w:val="24"/>
          <w:szCs w:val="24"/>
        </w:rPr>
        <w:t>1</w:t>
      </w:r>
      <w:r w:rsidRPr="000A6BB5">
        <w:rPr>
          <w:rFonts w:ascii="GHEA Grapalat" w:hAnsi="GHEA Grapalat" w:cs="Sylfaen"/>
          <w:sz w:val="24"/>
          <w:szCs w:val="24"/>
        </w:rPr>
        <w:t>-րդ</w:t>
      </w:r>
      <w:r w:rsidRPr="008F14AA">
        <w:rPr>
          <w:rFonts w:ascii="GHEA Grapalat" w:hAnsi="GHEA Grapalat" w:cs="Sylfaen"/>
          <w:sz w:val="24"/>
          <w:szCs w:val="24"/>
        </w:rPr>
        <w:t xml:space="preserve"> կետով սահմանված փաստաթղթերի կազմում` վերջիններիս կազմին և բովանդակությանը` Հայաստանի Հանրապետության իրավական ակտերով սահմանված պահանջներին համապատասխան: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08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>Պատվիրատուի կողմից քաղաքաշինական փաստաթղթերը համալիր փորձաքննության են ներկայացվում նախագծման համար Հայաստանի Հանրապետության օրենսդրությամբ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, </w:t>
      </w:r>
      <w:r w:rsidRPr="008F14AA">
        <w:rPr>
          <w:rFonts w:ascii="GHEA Grapalat" w:hAnsi="GHEA Grapalat" w:cs="Sylfaen"/>
          <w:sz w:val="24"/>
          <w:szCs w:val="24"/>
        </w:rPr>
        <w:t>նորմատիվատեխնիկական փաստաթղթերով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 և սույն կարգով</w:t>
      </w:r>
      <w:r w:rsidRPr="008F14AA">
        <w:rPr>
          <w:rFonts w:ascii="GHEA Grapalat" w:hAnsi="GHEA Grapalat" w:cs="Sylfaen"/>
          <w:sz w:val="24"/>
          <w:szCs w:val="24"/>
        </w:rPr>
        <w:t xml:space="preserve"> նախատեսված լրիվ ծավալով: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457EAC" w:rsidRPr="008F14AA" w:rsidRDefault="00457EAC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Պետական և համայնքային բյուջեների` 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(ներառյալ` վարկային և դրամաշնորհային միջոցները) </w:t>
      </w:r>
      <w:r w:rsidRPr="008F14AA">
        <w:rPr>
          <w:rFonts w:ascii="GHEA Grapalat" w:hAnsi="GHEA Grapalat" w:cs="Sylfaen"/>
          <w:sz w:val="24"/>
          <w:szCs w:val="24"/>
        </w:rPr>
        <w:t>հաշվին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 կամ</w:t>
      </w:r>
      <w:r w:rsidRPr="008F14AA">
        <w:rPr>
          <w:rFonts w:ascii="GHEA Grapalat" w:hAnsi="GHEA Grapalat" w:cs="Sylfaen"/>
          <w:sz w:val="24"/>
          <w:szCs w:val="24"/>
        </w:rPr>
        <w:t xml:space="preserve"> դրանց ներգրավմամբ իրականացվող ճարտարապետաշինարարական oբյեկտների նախագծերը փորձաքննության են ներկայացվում նախահաշվային փաստաթղթերի ներառմամբ: Մնացած դեպքերում նախահաշվային փաստաթղթերը ներկայացվում են պատվիրատուի որոշմամբ: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F06AE5" w:rsidRPr="008F14AA" w:rsidRDefault="00F06AE5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Հատուկ համալիր փորձաքննության ենթակա են հատկապես վտանգավոր և (կամ) տեխնիկապես բարդ oբյեկտների, ինչպես նաև երկու և ավելի պետությունների շահերին առնչվող բարձրագույն ռիսկայնության աստիճանի (V կատեգորիայի) դասակարգում ունեցող քաղաքաշինական oբյեկտների նախագծային փաստաթղթերը` Հայաստանի Հանրապետության կառավարության որոշմամբ: Հայաստանի Հանրապետության կառավարության որոշման նախագիծը Հայաստանի Հանրապետության կառավարության քննարկմանն է ներկայացվում </w:t>
      </w:r>
      <w:r w:rsidR="00D95701" w:rsidRPr="008F14AA">
        <w:rPr>
          <w:rFonts w:ascii="GHEA Grapalat" w:hAnsi="GHEA Grapalat" w:cs="Sylfaen"/>
          <w:sz w:val="24"/>
          <w:szCs w:val="24"/>
        </w:rPr>
        <w:t xml:space="preserve">ծրագիրն իրականացնող </w:t>
      </w:r>
      <w:r w:rsidRPr="008F14AA">
        <w:rPr>
          <w:rFonts w:ascii="GHEA Grapalat" w:hAnsi="GHEA Grapalat" w:cs="Sylfaen"/>
          <w:sz w:val="24"/>
          <w:szCs w:val="24"/>
        </w:rPr>
        <w:t>համապատասխան ոլորտի պետական կառավարման լիազորված մարմնի կողմից` կախված տվյալ օբյեկտի գործառ</w:t>
      </w:r>
      <w:r w:rsidR="00D95701" w:rsidRPr="008F14AA">
        <w:rPr>
          <w:rFonts w:ascii="GHEA Grapalat" w:hAnsi="GHEA Grapalat" w:cs="Sylfaen"/>
          <w:sz w:val="24"/>
          <w:szCs w:val="24"/>
        </w:rPr>
        <w:t>ն</w:t>
      </w:r>
      <w:r w:rsidRPr="008F14AA">
        <w:rPr>
          <w:rFonts w:ascii="GHEA Grapalat" w:hAnsi="GHEA Grapalat" w:cs="Sylfaen"/>
          <w:sz w:val="24"/>
          <w:szCs w:val="24"/>
        </w:rPr>
        <w:t>ական նշանակությունից (էներգետիկա, տրանսպորտ, ջրային համակարգեր և այլն): Յուրաքանչյուր առանձին դեպքում տվյալ օբյեկտի փորձաքննությունն անցկացնում է Հայաստանի Հանրապետության կառավարության որոշմամբ ստեղծված ժամանակավոր փորձաքննական հանձնաժողովը</w:t>
      </w:r>
      <w:r w:rsidR="00530C1F">
        <w:rPr>
          <w:rFonts w:ascii="GHEA Grapalat" w:hAnsi="GHEA Grapalat" w:cs="Sylfaen"/>
          <w:sz w:val="24"/>
          <w:szCs w:val="24"/>
        </w:rPr>
        <w:t>՝</w:t>
      </w:r>
      <w:r w:rsidR="004C613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եթե այլ բան նախատեսված չէ միջազգային պայմանագրով: Ժամանակավոր փորձաքննական հանձնաժողովի կազմում պարտադիր կարգով ընդգրկվում է (ընդգրկվում են) քաղաքաշինության տվյալ բնագավառում փորձաքննության գործունեության լիցենզիա ունեցող անձը (անձինք), շրջակա միջավայրի վրա ազդեցության փորձաքննությ</w:t>
      </w:r>
      <w:r w:rsidR="00501922" w:rsidRPr="008F14AA">
        <w:rPr>
          <w:rFonts w:ascii="GHEA Grapalat" w:hAnsi="GHEA Grapalat" w:cs="Sylfaen"/>
          <w:sz w:val="24"/>
          <w:szCs w:val="24"/>
        </w:rPr>
        <w:t>ու</w:t>
      </w:r>
      <w:r w:rsidRPr="008F14AA">
        <w:rPr>
          <w:rFonts w:ascii="GHEA Grapalat" w:hAnsi="GHEA Grapalat" w:cs="Sylfaen"/>
          <w:sz w:val="24"/>
          <w:szCs w:val="24"/>
        </w:rPr>
        <w:t>ն</w:t>
      </w:r>
      <w:r w:rsidR="00B01F08" w:rsidRPr="008F14AA">
        <w:rPr>
          <w:rFonts w:ascii="GHEA Grapalat" w:hAnsi="GHEA Grapalat" w:cs="Sylfaen"/>
          <w:sz w:val="24"/>
          <w:szCs w:val="24"/>
        </w:rPr>
        <w:t xml:space="preserve"> </w:t>
      </w:r>
      <w:r w:rsidR="00501922" w:rsidRPr="008F14AA">
        <w:rPr>
          <w:rFonts w:ascii="GHEA Grapalat" w:hAnsi="GHEA Grapalat" w:cs="Sylfaen"/>
          <w:sz w:val="24"/>
          <w:szCs w:val="24"/>
        </w:rPr>
        <w:t xml:space="preserve">իրականացնող </w:t>
      </w:r>
      <w:r w:rsidR="00B01F08" w:rsidRPr="002644F0">
        <w:rPr>
          <w:rFonts w:ascii="GHEA Grapalat" w:hAnsi="GHEA Grapalat" w:cs="Sylfaen"/>
          <w:sz w:val="24"/>
          <w:szCs w:val="24"/>
        </w:rPr>
        <w:t>և այլ</w:t>
      </w:r>
      <w:r w:rsidR="00501922" w:rsidRPr="008F14AA">
        <w:rPr>
          <w:rFonts w:ascii="GHEA Grapalat" w:hAnsi="GHEA Grapalat" w:cs="Sylfaen"/>
          <w:sz w:val="24"/>
          <w:szCs w:val="24"/>
        </w:rPr>
        <w:t xml:space="preserve"> </w:t>
      </w:r>
      <w:r w:rsidRPr="008F14AA">
        <w:rPr>
          <w:rFonts w:ascii="GHEA Grapalat" w:hAnsi="GHEA Grapalat" w:cs="Sylfaen"/>
          <w:sz w:val="24"/>
          <w:szCs w:val="24"/>
        </w:rPr>
        <w:t>շահագրգիռ մարմինները: Հայաստանի Հանրապետության կառավարության որոշմամբ ժամանակավոր փորձաքննական հանձնաժողովի կազմում կարող են ներառվել նաև խնդրին առնչվող այլ մարմիններ և կազմակերպություններ: Հատուկ համալիր փորձաքննությունը կարող է իրականացվել նաև միջազգային փորձագիտական մարմինների (կամ փորձագետների) ներգրավմամբ: Սույն կետում նշված լիազորված մարմինը ժամանակավոր փորձաքննական հանձնաժողովի ամփոփ եզրակացությունը ներկայացնում է Հայաստանի Հանրապետության կառավարության քննարկմանը: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</w:p>
    <w:p w:rsidR="00282CF0" w:rsidRPr="008F14AA" w:rsidRDefault="00550985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</w:rPr>
      </w:pPr>
      <w:r w:rsidRPr="008F14AA">
        <w:rPr>
          <w:rFonts w:ascii="GHEA Grapalat" w:hAnsi="GHEA Grapalat" w:cs="Sylfaen"/>
          <w:sz w:val="24"/>
          <w:szCs w:val="24"/>
        </w:rPr>
        <w:t xml:space="preserve">Ճարտարապետաշինարարական նախագծային փաստաթղթերը 2 փուլով («Նախագիծ» և «Աշխատանքային փաստաթղթեր») մշակելու դեպքում փորձաքննության է </w:t>
      </w:r>
      <w:r w:rsidRPr="008F14AA">
        <w:rPr>
          <w:rFonts w:ascii="GHEA Grapalat" w:hAnsi="GHEA Grapalat" w:cs="Sylfaen"/>
          <w:sz w:val="24"/>
          <w:szCs w:val="24"/>
        </w:rPr>
        <w:lastRenderedPageBreak/>
        <w:t xml:space="preserve">ներկայացվում </w:t>
      </w:r>
      <w:r w:rsidR="00AE0673" w:rsidRPr="008F14AA">
        <w:rPr>
          <w:rFonts w:ascii="GHEA Grapalat" w:hAnsi="GHEA Grapalat" w:cs="Sylfaen"/>
          <w:sz w:val="24"/>
          <w:szCs w:val="24"/>
        </w:rPr>
        <w:t>հա</w:t>
      </w:r>
      <w:r w:rsidR="008609D0">
        <w:rPr>
          <w:rFonts w:ascii="GHEA Grapalat" w:hAnsi="GHEA Grapalat" w:cs="Sylfaen"/>
          <w:sz w:val="24"/>
          <w:szCs w:val="24"/>
        </w:rPr>
        <w:t>մաձայնեցման</w:t>
      </w:r>
      <w:r w:rsidR="00AE0673" w:rsidRPr="008F14AA">
        <w:rPr>
          <w:rFonts w:ascii="GHEA Grapalat" w:hAnsi="GHEA Grapalat" w:cs="Sylfaen"/>
          <w:sz w:val="24"/>
          <w:szCs w:val="24"/>
        </w:rPr>
        <w:t xml:space="preserve"> ենթակա`</w:t>
      </w:r>
      <w:r w:rsidRPr="008F14AA">
        <w:rPr>
          <w:rFonts w:ascii="GHEA Grapalat" w:hAnsi="GHEA Grapalat" w:cs="Sylfaen"/>
          <w:sz w:val="24"/>
          <w:szCs w:val="24"/>
        </w:rPr>
        <w:t xml:space="preserve"> «Նախագիծ» փուլը</w:t>
      </w:r>
      <w:r w:rsidR="00282CF0" w:rsidRPr="008F14AA">
        <w:rPr>
          <w:rFonts w:ascii="GHEA Grapalat" w:hAnsi="GHEA Grapalat" w:cs="Sylfaen"/>
          <w:sz w:val="24"/>
          <w:szCs w:val="24"/>
        </w:rPr>
        <w:t xml:space="preserve">, որի վերաբերյալ փորձագիտական եզրակացությունը տրամադրվում է սույն կարգով սահմանված պահանջներին համապատասխան: </w:t>
      </w:r>
    </w:p>
    <w:p w:rsidR="00130291" w:rsidRPr="008F14AA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D5FEA" w:rsidRPr="008F14AA" w:rsidRDefault="00282CF0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14AA">
        <w:rPr>
          <w:rFonts w:ascii="GHEA Grapalat" w:hAnsi="GHEA Grapalat" w:cs="Sylfaen"/>
          <w:sz w:val="24"/>
          <w:szCs w:val="24"/>
          <w:lang w:val="hy-AM"/>
        </w:rPr>
        <w:t>Հաստատված «Նախագիծ» փուլին</w:t>
      </w:r>
      <w:r w:rsidR="00550985" w:rsidRPr="008F14AA">
        <w:rPr>
          <w:rFonts w:ascii="GHEA Grapalat" w:hAnsi="GHEA Grapalat" w:cs="Sylfaen"/>
          <w:sz w:val="24"/>
          <w:szCs w:val="24"/>
          <w:lang w:val="hy-AM"/>
        </w:rPr>
        <w:t xml:space="preserve"> հաջորդ</w:t>
      </w:r>
      <w:r w:rsidR="00E70F23" w:rsidRPr="008F14AA">
        <w:rPr>
          <w:rFonts w:ascii="GHEA Grapalat" w:hAnsi="GHEA Grapalat" w:cs="Sylfaen"/>
          <w:sz w:val="24"/>
          <w:szCs w:val="24"/>
          <w:lang w:val="hy-AM"/>
        </w:rPr>
        <w:t>ող</w:t>
      </w:r>
      <w:r w:rsidR="00550985" w:rsidRPr="008F14AA">
        <w:rPr>
          <w:rFonts w:ascii="GHEA Grapalat" w:hAnsi="GHEA Grapalat" w:cs="Sylfaen"/>
          <w:sz w:val="24"/>
          <w:szCs w:val="24"/>
          <w:lang w:val="hy-AM"/>
        </w:rPr>
        <w:t>` «Աշխատանքային փաստաթղթեր» փուլ</w:t>
      </w:r>
      <w:r w:rsidRPr="008F14AA">
        <w:rPr>
          <w:rFonts w:ascii="GHEA Grapalat" w:hAnsi="GHEA Grapalat" w:cs="Sylfaen"/>
          <w:sz w:val="24"/>
          <w:szCs w:val="24"/>
          <w:lang w:val="hy-AM"/>
        </w:rPr>
        <w:t>ի նախագծային փաստաթղթերի մշակումը</w:t>
      </w:r>
      <w:r w:rsidR="00550985" w:rsidRPr="008F14AA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C527D5" w:rsidRPr="008F14AA">
        <w:rPr>
          <w:rFonts w:ascii="GHEA Grapalat" w:hAnsi="GHEA Grapalat" w:cs="Sylfaen"/>
          <w:sz w:val="24"/>
          <w:szCs w:val="24"/>
          <w:lang w:val="hy-AM"/>
        </w:rPr>
        <w:t xml:space="preserve">հատուկ համալիր և </w:t>
      </w:r>
      <w:r w:rsidR="00550985" w:rsidRPr="008F14AA">
        <w:rPr>
          <w:rFonts w:ascii="GHEA Grapalat" w:hAnsi="GHEA Grapalat" w:cs="Sylfaen"/>
          <w:sz w:val="24"/>
          <w:szCs w:val="24"/>
          <w:lang w:val="hy-AM"/>
        </w:rPr>
        <w:t xml:space="preserve">համալիր փորձաքննության ենթակա օբյեկտների </w:t>
      </w:r>
      <w:r w:rsidRPr="008F14AA">
        <w:rPr>
          <w:rFonts w:ascii="GHEA Grapalat" w:hAnsi="GHEA Grapalat" w:cs="Sylfaen"/>
          <w:sz w:val="24"/>
          <w:szCs w:val="24"/>
          <w:lang w:val="hy-AM"/>
        </w:rPr>
        <w:t>համար,</w:t>
      </w:r>
      <w:r w:rsidR="00550985" w:rsidRPr="008F14AA">
        <w:rPr>
          <w:rFonts w:ascii="GHEA Grapalat" w:hAnsi="GHEA Grapalat" w:cs="Sylfaen"/>
          <w:sz w:val="24"/>
          <w:szCs w:val="24"/>
          <w:lang w:val="hy-AM"/>
        </w:rPr>
        <w:t xml:space="preserve"> պատվիրատուի նախաձեռնությամբ,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 կարող է զուգորդվել փորձագիտական ուղեկցմամբ</w:t>
      </w:r>
      <w:r w:rsidR="002D5FEA" w:rsidRPr="008F14A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5FEA" w:rsidRPr="008F14AA" w:rsidRDefault="002D5FEA" w:rsidP="00C60AB4">
      <w:pPr>
        <w:pStyle w:val="ListParagraph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25A57" w:rsidRPr="008F14AA" w:rsidRDefault="002D5FEA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14AA">
        <w:rPr>
          <w:rFonts w:ascii="GHEA Grapalat" w:hAnsi="GHEA Grapalat" w:cs="Sylfaen"/>
          <w:sz w:val="24"/>
          <w:szCs w:val="24"/>
          <w:lang w:val="hy-AM"/>
        </w:rPr>
        <w:t>Փորձագիտական ուղեկցումը կիրառվում է «Նախագիծ» փուլով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="008609D0" w:rsidRPr="008609D0">
        <w:rPr>
          <w:rFonts w:ascii="GHEA Grapalat" w:hAnsi="GHEA Grapalat" w:cs="Sylfaen"/>
          <w:sz w:val="24"/>
          <w:szCs w:val="24"/>
          <w:lang w:val="hy-AM"/>
        </w:rPr>
        <w:t>մաձայնեցված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 լուծումներին 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հաջորդող </w:t>
      </w:r>
      <w:r w:rsidR="008F14AA" w:rsidRPr="008F14A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 փաստաթղթերի 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համապատասխանությունը </w:t>
      </w:r>
      <w:r w:rsidRPr="008F14AA">
        <w:rPr>
          <w:rFonts w:ascii="GHEA Grapalat" w:hAnsi="GHEA Grapalat" w:cs="Sylfaen"/>
          <w:sz w:val="24"/>
          <w:szCs w:val="24"/>
          <w:lang w:val="hy-AM"/>
        </w:rPr>
        <w:t>փորձագիտական մարմնի կողմից հավաստելու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 նպատակով:</w:t>
      </w:r>
      <w:r w:rsidR="00282CF0" w:rsidRPr="008F14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Այս դեպքում փորձագիտական մարմնի </w:t>
      </w:r>
      <w:r w:rsidR="00C527D5" w:rsidRPr="008F14AA">
        <w:rPr>
          <w:rFonts w:ascii="GHEA Grapalat" w:hAnsi="GHEA Grapalat" w:cs="Sylfaen"/>
          <w:sz w:val="24"/>
          <w:szCs w:val="24"/>
          <w:lang w:val="hy-AM"/>
        </w:rPr>
        <w:t xml:space="preserve">հետ կնքվող պայմանագրով սահմանված ժամկետներով և պայմաններով վերջինիս 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 xml:space="preserve">կողմից պատվիրատուին ներկայացված դիտողություններն ու առաջարկություններն ընդգրկվում են 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>սույն կարգի 2</w:t>
      </w:r>
      <w:r w:rsidR="008F14AA" w:rsidRPr="008F14AA">
        <w:rPr>
          <w:rFonts w:ascii="GHEA Grapalat" w:hAnsi="GHEA Grapalat" w:cs="Sylfaen"/>
          <w:sz w:val="24"/>
          <w:szCs w:val="24"/>
          <w:lang w:val="hy-AM"/>
        </w:rPr>
        <w:t>8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>-րդ կետով նշված</w:t>
      </w:r>
      <w:r w:rsidR="009C3BE3" w:rsidRPr="008F14AA">
        <w:rPr>
          <w:rFonts w:ascii="GHEA Grapalat" w:hAnsi="GHEA Grapalat" w:cs="Sylfaen"/>
          <w:sz w:val="24"/>
          <w:szCs w:val="24"/>
          <w:lang w:val="hy-AM"/>
        </w:rPr>
        <w:t>`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3BE3" w:rsidRPr="008F14AA">
        <w:rPr>
          <w:rFonts w:ascii="GHEA Grapalat" w:hAnsi="GHEA Grapalat" w:cs="Sylfaen"/>
          <w:sz w:val="24"/>
          <w:szCs w:val="24"/>
          <w:lang w:val="hy-AM"/>
        </w:rPr>
        <w:t xml:space="preserve">աշխատանքային փաստաթղթերի 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>մշակման փուլ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>եր</w:t>
      </w:r>
      <w:r w:rsidR="00F44DFF" w:rsidRPr="008F14AA">
        <w:rPr>
          <w:rFonts w:ascii="GHEA Grapalat" w:hAnsi="GHEA Grapalat" w:cs="Sylfaen"/>
          <w:sz w:val="24"/>
          <w:szCs w:val="24"/>
          <w:lang w:val="hy-AM"/>
        </w:rPr>
        <w:t>ում:</w:t>
      </w:r>
    </w:p>
    <w:p w:rsidR="00125A57" w:rsidRPr="008F14AA" w:rsidRDefault="00125A57" w:rsidP="00C60AB4">
      <w:pPr>
        <w:pStyle w:val="ListParagraph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125A57" w:rsidRPr="008F14AA" w:rsidRDefault="00550985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Սույն կարգի </w:t>
      </w:r>
      <w:r w:rsidR="00C015A0" w:rsidRPr="008F14AA">
        <w:rPr>
          <w:rFonts w:ascii="GHEA Grapalat" w:hAnsi="GHEA Grapalat" w:cs="Sylfaen"/>
          <w:sz w:val="24"/>
          <w:szCs w:val="24"/>
          <w:lang w:val="hy-AM"/>
        </w:rPr>
        <w:t>2</w:t>
      </w:r>
      <w:r w:rsidR="008F14AA" w:rsidRPr="008F14AA">
        <w:rPr>
          <w:rFonts w:ascii="GHEA Grapalat" w:hAnsi="GHEA Grapalat" w:cs="Sylfaen"/>
          <w:sz w:val="24"/>
          <w:szCs w:val="24"/>
          <w:lang w:val="hy-AM"/>
        </w:rPr>
        <w:t>7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-րդ կետով սահմանված 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 xml:space="preserve">դեպքերում աշխատանքային փաստաթղթերի համապատասխանությունը </w:t>
      </w:r>
      <w:r w:rsidR="008609D0" w:rsidRPr="008609D0">
        <w:rPr>
          <w:rFonts w:ascii="GHEA Grapalat" w:hAnsi="GHEA Grapalat" w:cs="Sylfaen"/>
          <w:sz w:val="24"/>
          <w:szCs w:val="24"/>
          <w:lang w:val="hy-AM"/>
        </w:rPr>
        <w:t>համաձայնեց</w:t>
      </w:r>
      <w:r w:rsidR="00125A57" w:rsidRPr="008F14AA">
        <w:rPr>
          <w:rFonts w:ascii="GHEA Grapalat" w:hAnsi="GHEA Grapalat" w:cs="Sylfaen"/>
          <w:sz w:val="24"/>
          <w:szCs w:val="24"/>
          <w:lang w:val="hy-AM"/>
        </w:rPr>
        <w:t>ված «Նախագիծ» փուլով ընդունված լուծումներին հավաստվում է փորձագիտական մարմնի տեղեկանք-երաշխավորագրերով` շինարարության թույլտվությամբ սահմանված աշխատանքների իրականացման հաջորդականությամբ (նախապատրաստական, հողային, շինմոնտաժային աշխատանքներ և այլն), որոնք ներառվում են կատարողական փաստաթղթերի փաթեթում:</w:t>
      </w:r>
    </w:p>
    <w:p w:rsidR="00130291" w:rsidRPr="008F14AA" w:rsidRDefault="00130291" w:rsidP="00F84D91">
      <w:pPr>
        <w:tabs>
          <w:tab w:val="num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50985" w:rsidRPr="008F14AA" w:rsidRDefault="00550985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Եթե սույն կարգի </w:t>
      </w:r>
      <w:r w:rsidR="009C3BE3" w:rsidRPr="008F14AA">
        <w:rPr>
          <w:rFonts w:ascii="GHEA Grapalat" w:hAnsi="GHEA Grapalat" w:cs="Sylfaen"/>
          <w:sz w:val="24"/>
          <w:szCs w:val="24"/>
          <w:lang w:val="hy-AM"/>
        </w:rPr>
        <w:t>25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-րդ կետում նշված դեպքերում փորձագիտական ուղեկցում չի իրականացվում, ապա «Աշխատանքային փաստաթղթեր» փուլի` </w:t>
      </w:r>
      <w:r w:rsidR="008609D0" w:rsidRPr="008609D0">
        <w:rPr>
          <w:rFonts w:ascii="GHEA Grapalat" w:hAnsi="GHEA Grapalat" w:cs="Sylfaen"/>
          <w:sz w:val="24"/>
          <w:szCs w:val="24"/>
          <w:lang w:val="hy-AM"/>
        </w:rPr>
        <w:t>համաձայնեց</w:t>
      </w:r>
      <w:r w:rsidRPr="008F14AA">
        <w:rPr>
          <w:rFonts w:ascii="GHEA Grapalat" w:hAnsi="GHEA Grapalat" w:cs="Sylfaen"/>
          <w:sz w:val="24"/>
          <w:szCs w:val="24"/>
          <w:lang w:val="hy-AM"/>
        </w:rPr>
        <w:t>ված «Նախագիծ» փուլով ընդունված լուծումներին համապատասխանություն</w:t>
      </w:r>
      <w:r w:rsidR="009C3BE3" w:rsidRPr="008F14AA">
        <w:rPr>
          <w:rFonts w:ascii="GHEA Grapalat" w:hAnsi="GHEA Grapalat" w:cs="Sylfaen"/>
          <w:sz w:val="24"/>
          <w:szCs w:val="24"/>
          <w:lang w:val="hy-AM"/>
        </w:rPr>
        <w:t>ը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27D5" w:rsidRPr="008F14AA">
        <w:rPr>
          <w:rFonts w:ascii="GHEA Grapalat" w:hAnsi="GHEA Grapalat" w:cs="Sylfaen"/>
          <w:sz w:val="24"/>
          <w:szCs w:val="24"/>
          <w:lang w:val="hy-AM"/>
        </w:rPr>
        <w:t>երաշխավորում</w:t>
      </w:r>
      <w:r w:rsidRPr="008F14AA">
        <w:rPr>
          <w:rFonts w:ascii="GHEA Grapalat" w:hAnsi="GHEA Grapalat" w:cs="Sylfaen"/>
          <w:sz w:val="24"/>
          <w:szCs w:val="24"/>
          <w:lang w:val="hy-AM"/>
        </w:rPr>
        <w:t xml:space="preserve"> է նախագիծը թողարկող աշխատանքների պատասխանատու կապալառուն, եթե այլ բան նախատեսված չէ նախագծային կապալի պայմանագրով:</w:t>
      </w:r>
    </w:p>
    <w:p w:rsidR="00130291" w:rsidRPr="008F14AA" w:rsidRDefault="00130291" w:rsidP="00F84D91">
      <w:pPr>
        <w:tabs>
          <w:tab w:val="num" w:pos="1134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1381F" w:rsidRPr="008F14AA" w:rsidRDefault="0011381F" w:rsidP="00F84D91">
      <w:pPr>
        <w:numPr>
          <w:ilvl w:val="0"/>
          <w:numId w:val="7"/>
        </w:numPr>
        <w:tabs>
          <w:tab w:val="clear" w:pos="1050"/>
          <w:tab w:val="num" w:pos="1134"/>
          <w:tab w:val="left" w:pos="6237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14AA">
        <w:rPr>
          <w:rFonts w:ascii="GHEA Grapalat" w:hAnsi="GHEA Grapalat" w:cs="Sylfaen"/>
          <w:sz w:val="24"/>
          <w:szCs w:val="24"/>
          <w:lang w:val="hy-AM"/>
        </w:rPr>
        <w:t>Պատվիրատուի կողմից քաղաքաշինական փաստաթղթերը փորձաքննության են ներկայացվում մեկ oրինակից:</w:t>
      </w:r>
    </w:p>
    <w:p w:rsidR="00130291" w:rsidRPr="008F14AA" w:rsidRDefault="00130291" w:rsidP="00C60AB4">
      <w:pPr>
        <w:tabs>
          <w:tab w:val="left" w:pos="6237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30291" w:rsidRPr="000A6BB5" w:rsidRDefault="0011381F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6BB5">
        <w:rPr>
          <w:rFonts w:ascii="GHEA Grapalat" w:hAnsi="GHEA Grapalat" w:cs="Sylfaen"/>
          <w:sz w:val="24"/>
          <w:szCs w:val="24"/>
          <w:lang w:val="hy-AM"/>
        </w:rPr>
        <w:t>Մշակված քաղաքաշինական փաստաթղթերի հետ միասին ներկայացվում են նախագծման համար հիմք հանդիսացող ելակետային փաստաթղթերն ու oբյեկտի նախագծման տեխնիկական պայմանները, ինչպես նաև շենքի (կառույցի) տեխնիկական, կոնստրուկտիվ լուծ</w:t>
      </w:r>
      <w:r w:rsidR="000A6BB5" w:rsidRPr="000A6BB5">
        <w:rPr>
          <w:rFonts w:ascii="GHEA Grapalat" w:hAnsi="GHEA Grapalat" w:cs="Sylfaen"/>
          <w:sz w:val="24"/>
          <w:szCs w:val="24"/>
          <w:lang w:val="hy-AM"/>
        </w:rPr>
        <w:t>ումների հիմնավորման հաշվարկները, իսկ սույն կարգի 21-րդ կետով նշված դեպքերում` նաև սույն կարգի 13-րդ կետում նշված շահագրգիռ պետական մարմինների փորձագիտական և (կամ) մասնագիտական եզրակացությունները կամ համաձայնությունները:</w:t>
      </w:r>
    </w:p>
    <w:p w:rsidR="000A6BB5" w:rsidRDefault="000A6BB5" w:rsidP="00F84D91">
      <w:pPr>
        <w:pStyle w:val="ListParagraph"/>
        <w:tabs>
          <w:tab w:val="num" w:pos="1134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525E3B" w:rsidRPr="000A6BB5" w:rsidRDefault="0011381F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A6BB5">
        <w:rPr>
          <w:rFonts w:ascii="GHEA Grapalat" w:hAnsi="GHEA Grapalat" w:cs="Sylfaen"/>
          <w:sz w:val="24"/>
          <w:szCs w:val="24"/>
          <w:lang w:val="hy-AM"/>
        </w:rPr>
        <w:t xml:space="preserve">Հիդրոտեխնիկական կառուցվածքների շինարարական և վերակառուցման նախագծային փաստաթղթերի հետ միասին ներկայացվում են հիդրավլիկական մոդելային հետազոտությունների </w:t>
      </w:r>
      <w:r w:rsidR="00525E3B" w:rsidRPr="000A6BB5">
        <w:rPr>
          <w:rFonts w:ascii="GHEA Grapalat" w:hAnsi="GHEA Grapalat" w:cs="Sylfaen"/>
          <w:sz w:val="24"/>
          <w:szCs w:val="24"/>
          <w:lang w:val="hy-AM"/>
        </w:rPr>
        <w:t>արդյունքները կամ այդպիսի հետազոտությունների` ավելորդ լինելու մասին հիմնավորումները:</w:t>
      </w:r>
    </w:p>
    <w:p w:rsidR="00130291" w:rsidRPr="000A6BB5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677D0" w:rsidRPr="00F85517" w:rsidRDefault="0011381F" w:rsidP="00F84D91">
      <w:pPr>
        <w:numPr>
          <w:ilvl w:val="0"/>
          <w:numId w:val="7"/>
        </w:numPr>
        <w:tabs>
          <w:tab w:val="clear" w:pos="1050"/>
          <w:tab w:val="num" w:pos="1134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lastRenderedPageBreak/>
        <w:t>Փորձաքննության ներկայացվող փաստաթղթերի կազմում ներառվում է Հայաստանի Հանրապետության կառավարության 2003 թվականի սեպտեմբերի 4-ի</w:t>
      </w:r>
      <w:r w:rsidR="00C015A0" w:rsidRPr="00F85517">
        <w:rPr>
          <w:rFonts w:ascii="GHEA Grapalat" w:hAnsi="GHEA Grapalat" w:cs="Sylfaen"/>
          <w:sz w:val="24"/>
          <w:szCs w:val="24"/>
          <w:lang w:val="hy-AM"/>
        </w:rPr>
        <w:t xml:space="preserve"> N</w:t>
      </w:r>
      <w:r w:rsidRPr="00F85517">
        <w:rPr>
          <w:rFonts w:ascii="GHEA Grapalat" w:hAnsi="GHEA Grapalat" w:cs="Sylfaen"/>
          <w:sz w:val="24"/>
          <w:szCs w:val="24"/>
          <w:lang w:val="hy-AM"/>
        </w:rPr>
        <w:t>1530-Ն որոշման 1-ին կետով հաստատված կարգին համապատասխան կատարված ինժեներաերկրաբանական հետազննությունների նյութերի փորձաքննության եզրակացությունը` հետևյալ քաղաքաշինական փաստաթղթերի համար</w:t>
      </w:r>
      <w:r w:rsidR="008609D0" w:rsidRPr="008609D0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11381F" w:rsidRPr="00F85517" w:rsidRDefault="0011381F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015A0" w:rsidRPr="00F85517" w:rsidRDefault="0011381F" w:rsidP="00C60AB4">
      <w:pPr>
        <w:numPr>
          <w:ilvl w:val="0"/>
          <w:numId w:val="16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քաղաքաշինական ծրագրային փաստաթղթերից` համայնքների (բնակավայրերի) գլխավոր հատակագծերը.</w:t>
      </w:r>
    </w:p>
    <w:p w:rsidR="00CF1060" w:rsidRPr="00F85517" w:rsidRDefault="00CF1060" w:rsidP="00C60AB4">
      <w:pPr>
        <w:numPr>
          <w:ilvl w:val="0"/>
          <w:numId w:val="16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ինժեներապաշտպան միջոցառումների նախագծային փաստաթղթերը (հակասողանքային, հակափլվածքային, հակասելավային, հակաէրոզիոն, հակաթափվածքային, հականստվածքային, մակերևութային և ստորգետնյա ջրահեռացման, ափապաշտպան ու լանջապաշտպան, </w:t>
      </w:r>
      <w:r w:rsidRPr="00F84D91">
        <w:rPr>
          <w:rFonts w:ascii="GHEA Grapalat" w:hAnsi="GHEA Grapalat" w:cs="Sylfaen"/>
          <w:sz w:val="24"/>
          <w:szCs w:val="24"/>
          <w:lang w:val="hy-AM"/>
        </w:rPr>
        <w:t>հակասուֆոզիոն,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 աղակալված և նստվածքային գրունտների խտացում ու ամրացում).</w:t>
      </w:r>
    </w:p>
    <w:p w:rsidR="00CF1060" w:rsidRPr="00F85517" w:rsidRDefault="00CF1060" w:rsidP="00C60AB4">
      <w:pPr>
        <w:numPr>
          <w:ilvl w:val="0"/>
          <w:numId w:val="16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բարձրագույն ռիսկայնության աստիճան (V կատեգորիայի) դասակարգում ունեցող` հատուկ համալիր փորձաքննության ենթակա օբյեկտների նախագծային փաստաթղթերը, եթե այդպիսի պայման սահմանված է ժամանակավոր փորձաքննական հանձնաժողով ստեղծելու մասին Հայաստանի Հանրապետության կառավարության որոշմամբ.</w:t>
      </w:r>
    </w:p>
    <w:p w:rsidR="00CF1060" w:rsidRPr="00F85517" w:rsidRDefault="00CF1060" w:rsidP="00C60AB4">
      <w:pPr>
        <w:numPr>
          <w:ilvl w:val="0"/>
          <w:numId w:val="16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N4 Հավելվածով սահմանված N3 ցանկով ներառված կարևորագույն նշանակություն ունեցող oբյեկտների նախագծային փաստաթղթերը: Ընդ որում, նշված oբյեկտների նախագծերի համար` տվյալ համայնքի (բնակավայրի) գլխավոր հատակագծի հաստատումից հետո ինժեներաերկրաբանական հետազննությունների նյութերի առանձին փորձաքննություն չի իրականացվում (բացառությամբ 1-ին կարգի դիմհարային հիդրոտեխնիկական կառուցվածքների):</w:t>
      </w:r>
    </w:p>
    <w:p w:rsidR="007054F9" w:rsidRPr="00F85517" w:rsidRDefault="007054F9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1381F" w:rsidRPr="00F85517" w:rsidRDefault="0011381F" w:rsidP="00F84D91">
      <w:pPr>
        <w:numPr>
          <w:ilvl w:val="0"/>
          <w:numId w:val="7"/>
        </w:numPr>
        <w:tabs>
          <w:tab w:val="clear" w:pos="1050"/>
          <w:tab w:val="num" w:pos="1148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Սույն </w:t>
      </w:r>
      <w:r w:rsidR="007054F9" w:rsidRPr="00F85517">
        <w:rPr>
          <w:rFonts w:ascii="GHEA Grapalat" w:hAnsi="GHEA Grapalat" w:cs="Sylfaen"/>
          <w:sz w:val="24"/>
          <w:szCs w:val="24"/>
          <w:lang w:val="hy-AM"/>
        </w:rPr>
        <w:t xml:space="preserve">կարգի </w:t>
      </w:r>
      <w:r w:rsidR="006C6C6D" w:rsidRPr="00F85517">
        <w:rPr>
          <w:rFonts w:ascii="GHEA Grapalat" w:hAnsi="GHEA Grapalat" w:cs="Sylfaen"/>
          <w:sz w:val="24"/>
          <w:szCs w:val="24"/>
          <w:lang w:val="hy-AM"/>
        </w:rPr>
        <w:t>3</w:t>
      </w:r>
      <w:r w:rsidR="002644F0" w:rsidRPr="00F85517">
        <w:rPr>
          <w:rFonts w:ascii="GHEA Grapalat" w:hAnsi="GHEA Grapalat" w:cs="Sylfaen"/>
          <w:sz w:val="24"/>
          <w:szCs w:val="24"/>
          <w:lang w:val="hy-AM"/>
        </w:rPr>
        <w:t>3</w:t>
      </w:r>
      <w:r w:rsidR="007054F9" w:rsidRPr="00F85517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Pr="00F85517">
        <w:rPr>
          <w:rFonts w:ascii="GHEA Grapalat" w:hAnsi="GHEA Grapalat" w:cs="Sylfaen"/>
          <w:sz w:val="24"/>
          <w:szCs w:val="24"/>
          <w:lang w:val="hy-AM"/>
        </w:rPr>
        <w:t>կետում</w:t>
      </w:r>
      <w:r w:rsidR="006C6C6D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5517">
        <w:rPr>
          <w:rFonts w:ascii="GHEA Grapalat" w:hAnsi="GHEA Grapalat" w:cs="Sylfaen"/>
          <w:sz w:val="24"/>
          <w:szCs w:val="24"/>
          <w:lang w:val="hy-AM"/>
        </w:rPr>
        <w:t>չներառված օբյեկտների ճարտարապետաշինարարական նախագծերի դեպքերում` տվյալ օբյեկտի համար կատարված ինժեներաերկրաբանական հետազննությունների նյութերը դիտարկվում են փորձաքննության ներկայացված նախագծային կամ նախագծանախահաշվային փաստաթղթերի փաթեթի կազմում:</w:t>
      </w:r>
    </w:p>
    <w:p w:rsidR="00130291" w:rsidRPr="00F85517" w:rsidRDefault="00130291" w:rsidP="00F84D91">
      <w:pPr>
        <w:tabs>
          <w:tab w:val="num" w:pos="1148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148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Մինչև պայմանագրի կնքումը փորձագիտական մարմինը պարտավոր է ստուգել ներկայացվող քաղաքաշինական փաստաթղթերի փաթեթի կազմն ու ծավալը և, սույն կարգով սահմանված պահանջներին համապատասխանության դեպքում, կնքել պայմանագիրը: Անհամապատասխանության դեպքում փաստաթղթերը վերադարձվում են պատվիրատուին` անհրաժեշտ փաստաթղթեր</w:t>
      </w:r>
      <w:r w:rsidR="00995250" w:rsidRPr="00F85517">
        <w:rPr>
          <w:rFonts w:ascii="GHEA Grapalat" w:hAnsi="GHEA Grapalat" w:cs="Sylfaen"/>
          <w:sz w:val="24"/>
          <w:szCs w:val="24"/>
          <w:lang w:val="hy-AM"/>
        </w:rPr>
        <w:t>ը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95250" w:rsidRPr="00F85517">
        <w:rPr>
          <w:rFonts w:ascii="GHEA Grapalat" w:hAnsi="GHEA Grapalat" w:cs="Sylfaen"/>
          <w:sz w:val="24"/>
          <w:szCs w:val="24"/>
          <w:lang w:val="hy-AM"/>
        </w:rPr>
        <w:t xml:space="preserve">3-օրյա ժամկետում </w:t>
      </w:r>
      <w:r w:rsidRPr="00F85517">
        <w:rPr>
          <w:rFonts w:ascii="GHEA Grapalat" w:hAnsi="GHEA Grapalat" w:cs="Sylfaen"/>
          <w:sz w:val="24"/>
          <w:szCs w:val="24"/>
          <w:lang w:val="hy-AM"/>
        </w:rPr>
        <w:t>ներկայացնելու առաջարկով: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0A26AC" w:rsidP="00F84D91">
      <w:pPr>
        <w:numPr>
          <w:ilvl w:val="0"/>
          <w:numId w:val="7"/>
        </w:numPr>
        <w:tabs>
          <w:tab w:val="clear" w:pos="1050"/>
          <w:tab w:val="num" w:pos="1190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որձագիտական եզրակացությա</w:t>
      </w:r>
      <w:r w:rsidRPr="00F85517">
        <w:rPr>
          <w:rFonts w:ascii="GHEA Grapalat" w:hAnsi="GHEA Grapalat" w:cs="Sylfaen"/>
          <w:sz w:val="24"/>
          <w:szCs w:val="24"/>
          <w:lang w:val="hy-AM"/>
        </w:rPr>
        <w:t>մբ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 xml:space="preserve"> ներկայացված դիտողությունների համաձայն լրամշակված նախագծային փաստաթղթերի կրկնակի փորձաքննության անցկացման ժամկետները սահմանվում են պայմանագրով` հաշվի առնելով աշխատանքի ծավալն ու աշխատատարությունը: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176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Փորձաքննության սկզբի ժամկետ է համարվում փորձաքննության պայմանագրի ստորագրման ամսաթիվը, իսկ փորձաքննության ավարտի ժամկետ` </w:t>
      </w:r>
      <w:r w:rsidR="004D1A8C" w:rsidRPr="00F85517">
        <w:rPr>
          <w:rFonts w:ascii="GHEA Grapalat" w:hAnsi="GHEA Grapalat" w:cs="Sylfaen"/>
          <w:sz w:val="24"/>
          <w:szCs w:val="24"/>
          <w:lang w:val="hy-AM"/>
        </w:rPr>
        <w:t xml:space="preserve">փորձագիտական 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եզրակացությունը </w:t>
      </w:r>
      <w:r w:rsidR="004D1A8C" w:rsidRPr="00F85517">
        <w:rPr>
          <w:rFonts w:ascii="GHEA Grapalat" w:hAnsi="GHEA Grapalat" w:cs="Sylfaen"/>
          <w:sz w:val="24"/>
          <w:szCs w:val="24"/>
          <w:lang w:val="hy-AM"/>
        </w:rPr>
        <w:t>փորձագիտական մարմնի կողմից ստորագրելու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 oրը: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218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lastRenderedPageBreak/>
        <w:t>Փորձաքննության ծառայությունների արժեքը, փորձաքննության անցկացման ժամկետների խախտման համար պատվիրատուի և փորձաքննություն իրականացնողի փոխադարձ պարտավորությունները սահմանվում են պայմանագրով: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218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Հատուկ համալիր փորձաքննության իրականացման ժամկետները և պայմանները սահմանում է Հայաստանի Հանրապետության կառավարությունը` յուրաքանչյուր առանձին դեպքի համար: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218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Քաղաքաշինական փաստաթղթերի ուսումնասիրության արդյունքների հիման վրա կազմվում է փորձագիտական եզրակացություն:</w:t>
      </w:r>
    </w:p>
    <w:p w:rsidR="00130291" w:rsidRPr="00F85517" w:rsidRDefault="00130291" w:rsidP="00C60AB4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43C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232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Փորձագիտական եզրակացությունը պետք է ներառի`</w:t>
      </w:r>
    </w:p>
    <w:p w:rsidR="00DE43C8" w:rsidRPr="00F85517" w:rsidRDefault="00DE43C8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նախագծման համար հիմք հանդիսացող փաստաթղթերի ցանկը և դրանց համառոտ բնութագիրը.</w:t>
      </w:r>
    </w:p>
    <w:p w:rsidR="006C6C6D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ելակետային փաստաթղթերին և oբյեկտի նախագծման տեխնիկական պայմաններին նախագծային լուծումների համապատասխանության վերաբերյալ կատարված եզրահանգումները.</w:t>
      </w:r>
    </w:p>
    <w:p w:rsidR="006C6C6D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հիմնական նախագծային լուծումների (սույն կարգի 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>23-</w:t>
      </w:r>
      <w:r w:rsidRPr="00F85517">
        <w:rPr>
          <w:rFonts w:ascii="GHEA Grapalat" w:hAnsi="GHEA Grapalat" w:cs="Sylfaen"/>
          <w:sz w:val="24"/>
          <w:szCs w:val="24"/>
          <w:lang w:val="hy-AM"/>
        </w:rPr>
        <w:t>րդ կետով սահմանված դեպքերում` նաև նախահաշվային փաստաթղթերի) վերլուծության արդյունքները, համապատասխանությունը Հայաստանի Հանրապետության օրենսդրության և նորմատիվատեխնիկական փաստաթղթերի պահանջներին, հիմնական տեխնիկատնտեսական ցուցանիշները.</w:t>
      </w:r>
    </w:p>
    <w:p w:rsidR="00977DCF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ընդունված նախագծային լուծումների վերաբերյալ դիտողությունները և առաջարկությունները, նախագծում ճշտումներ ու լրացումներ կատարելու մասին հանձնարարականները, առաջարկվող ճշտումների հիմնավորումները` պարտադիր հղում կատարելով այն նորմին, որի խախտումն արձանագրվել է.</w:t>
      </w:r>
    </w:p>
    <w:p w:rsidR="006C6C6D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փորձաքննության ընթացքում աշխատանքային կարգով կատարված հիմնական փոփոխությունները և լրացումները.</w:t>
      </w:r>
    </w:p>
    <w:p w:rsidR="00143CF8" w:rsidRPr="00F85517" w:rsidRDefault="00143CF8" w:rsidP="00C60AB4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քաղաքաշինական փաստաթուղթը երաշխավորելու կամ այն լրամշակման վերադարձնելու կամ այն մերժելու մասին որոշման հիմնավորումները: Փորձագիտական մարմնի դիտողություններն ու առաջարկությունները կարող են ներկայացվել միմիայն Հայաստանի Հանրապետության օրենսդրության և նորմատիվատեխնիկական փաստաթղթերով սահմանված պահանջների ապահովման մասով:</w:t>
      </w:r>
    </w:p>
    <w:p w:rsidR="00DE43C8" w:rsidRPr="00F85517" w:rsidRDefault="00DE43C8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43CF8" w:rsidRPr="00F85517" w:rsidRDefault="00143CF8" w:rsidP="00F84D91">
      <w:pPr>
        <w:numPr>
          <w:ilvl w:val="0"/>
          <w:numId w:val="7"/>
        </w:numPr>
        <w:tabs>
          <w:tab w:val="clear" w:pos="1050"/>
          <w:tab w:val="num" w:pos="1176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Փորձագիտական եզրակացությունը կարող է եզրափակվել հետևյալ սահմանումներից մեկով`</w:t>
      </w:r>
    </w:p>
    <w:p w:rsidR="00DE43C8" w:rsidRPr="00F85517" w:rsidRDefault="00DE43C8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C6C6D" w:rsidRPr="00F85517" w:rsidRDefault="00143CF8" w:rsidP="00C60AB4">
      <w:pPr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«Երաշխավորվում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պահանջներին» (փորձագիտական դրական եզրակացություն), որից հետևում է, որ նախագիծը կարող է սահմանված կարգով պատվիրատուի կողմից ներկայացվել համաձայնեցման և հաստատվել: Եթե փորձաքննության ընթացքում հայտնաբերված բացթողումների ու սխալների ուղղումը չի ենթադրում հիմնական նախագծային լուծումների փոփոխում, ապա նախագիծը ճշտվում և լրացվում է աշխատանքային կարգով, որից հետո տրվում է </w:t>
      </w:r>
      <w:r w:rsidRPr="00F85517">
        <w:rPr>
          <w:rFonts w:ascii="GHEA Grapalat" w:hAnsi="GHEA Grapalat" w:cs="Sylfaen"/>
          <w:sz w:val="24"/>
          <w:szCs w:val="24"/>
          <w:lang w:val="hy-AM"/>
        </w:rPr>
        <w:lastRenderedPageBreak/>
        <w:t>վերջնական փորձագիտական եզրակացությունը: Այդ դեպքում նախագիծը կրկնակի փորձաքննության չի ներկայացվում.</w:t>
      </w:r>
    </w:p>
    <w:p w:rsidR="006C6C6D" w:rsidRPr="00F85517" w:rsidRDefault="00143CF8" w:rsidP="00C60AB4">
      <w:pPr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«Նախագիծը վերադարձվում է լրամշակման», որից հետևում է, որ նախագիծը ենթակա է լրամշակման` ըստ եզրակացությունում ներկայացված դիտողությունների և առաջարկությունների, որից հետո ճշտված և լրամշակված նախագծային փաստաթղթերի մասով այն պետք է պատվիրատուի կողմից ներկայացվի կրկնակի փորձաքննության: Լրամշակված նախագծի կրկնակի փորձաքննության համար ներկայացվում են փորձաքննության դիտողություններով փոփոխված նախագծային նյութերի վերաբերյալ բացատրագիրը` անհրաժեշտ հիմնավորումներով, նախորդ դիտարկումից հետո փոփոխված և լրացված նախագծային փաստաթղթերը.</w:t>
      </w:r>
    </w:p>
    <w:p w:rsidR="00143CF8" w:rsidRPr="00F85517" w:rsidRDefault="00143CF8" w:rsidP="00C60AB4">
      <w:pPr>
        <w:numPr>
          <w:ilvl w:val="0"/>
          <w:numId w:val="17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«Նախագծային փաստաթղթերը չեն համապատասխանում Հայաստանի Հանրապետության oրենսդրության և նորմատիվատեխնիկական փաստաթղթերի պահանջներին», որից հետևում է, որ տվյալ նախագիծը ենթակա է հիմնավոր վերամշակման և պետք է փորձաքննության ներկայացվի որպես նոր նախագիծ:</w:t>
      </w:r>
    </w:p>
    <w:p w:rsidR="00DE43C8" w:rsidRPr="00F85517" w:rsidRDefault="00DE43C8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60AB4" w:rsidRPr="00C60AB4" w:rsidRDefault="00C60AB4" w:rsidP="00F84D91">
      <w:pPr>
        <w:numPr>
          <w:ilvl w:val="0"/>
          <w:numId w:val="7"/>
        </w:numPr>
        <w:tabs>
          <w:tab w:val="clear" w:pos="1050"/>
          <w:tab w:val="num" w:pos="1176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4112">
        <w:rPr>
          <w:rFonts w:ascii="GHEA Grapalat" w:hAnsi="GHEA Grapalat" w:cs="Sylfaen"/>
          <w:sz w:val="24"/>
          <w:szCs w:val="24"/>
          <w:lang w:val="hy-AM"/>
        </w:rPr>
        <w:t>Փորձագիտական դրական եզրակացությունը չի կարող պարունակել նախագծային լուծումների վերաբերյալ դիտողություններ, առաջարկություններ կամ նախագծում ճշտումներ ու լրացումներ կատարելու մասին հանձնարարականներ:</w:t>
      </w:r>
    </w:p>
    <w:p w:rsidR="00C60AB4" w:rsidRDefault="00C60AB4" w:rsidP="00C60AB4">
      <w:pPr>
        <w:pStyle w:val="ListParagraph"/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:rsidR="001D697B" w:rsidRPr="00544112" w:rsidRDefault="006D326F" w:rsidP="00F84D91">
      <w:pPr>
        <w:numPr>
          <w:ilvl w:val="0"/>
          <w:numId w:val="7"/>
        </w:numPr>
        <w:tabs>
          <w:tab w:val="clear" w:pos="1050"/>
          <w:tab w:val="num" w:pos="1176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Փորձագիտական ե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զրակացությունը հաստատվում է փորձագիտական մարմնի ղեկավարի կողմից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>Հ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>Հ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</w:t>
      </w:r>
      <w:r w:rsidR="002251C8" w:rsidRPr="002251C8">
        <w:rPr>
          <w:rFonts w:ascii="GHEA Grapalat" w:hAnsi="GHEA Grapalat" w:cs="Sylfaen"/>
          <w:sz w:val="24"/>
          <w:szCs w:val="24"/>
          <w:lang w:val="hy-AM"/>
        </w:rPr>
        <w:t>5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>թ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>վականի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51C8">
        <w:rPr>
          <w:rFonts w:ascii="GHEA Grapalat" w:hAnsi="GHEA Grapalat" w:cs="Sylfaen"/>
          <w:sz w:val="24"/>
          <w:szCs w:val="24"/>
          <w:lang w:val="hy-AM"/>
        </w:rPr>
        <w:t>…</w:t>
      </w:r>
      <w:r w:rsidR="002251C8" w:rsidRPr="002251C8">
        <w:rPr>
          <w:rFonts w:ascii="GHEA Grapalat" w:hAnsi="GHEA Grapalat" w:cs="Sylfaen"/>
          <w:sz w:val="24"/>
          <w:szCs w:val="24"/>
          <w:lang w:val="hy-AM"/>
        </w:rPr>
        <w:t>..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C74CB">
        <w:rPr>
          <w:rFonts w:ascii="GHEA Grapalat" w:hAnsi="GHEA Grapalat" w:cs="Sylfaen"/>
          <w:sz w:val="24"/>
          <w:szCs w:val="24"/>
          <w:lang w:val="hy-AM"/>
        </w:rPr>
        <w:t>…</w:t>
      </w:r>
      <w:r w:rsidR="007C74CB" w:rsidRPr="007C74CB"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>N</w:t>
      </w:r>
      <w:r w:rsidR="007C74CB">
        <w:rPr>
          <w:rFonts w:ascii="GHEA Grapalat" w:hAnsi="GHEA Grapalat" w:cs="Sylfaen"/>
          <w:sz w:val="24"/>
          <w:szCs w:val="24"/>
          <w:lang w:val="hy-AM"/>
        </w:rPr>
        <w:t>…</w:t>
      </w:r>
      <w:r w:rsidR="00530C1F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4079" w:rsidRPr="00F85517">
        <w:rPr>
          <w:rFonts w:ascii="GHEA Grapalat" w:hAnsi="GHEA Grapalat" w:cs="Sylfaen"/>
          <w:sz w:val="24"/>
          <w:szCs w:val="24"/>
          <w:lang w:val="hy-AM"/>
        </w:rPr>
        <w:t xml:space="preserve">որոշման N1 Հավելվածի </w:t>
      </w:r>
      <w:r w:rsidR="00C40452" w:rsidRPr="00F85517">
        <w:rPr>
          <w:rFonts w:ascii="GHEA Grapalat" w:hAnsi="GHEA Grapalat" w:cs="Sylfaen"/>
          <w:sz w:val="24"/>
          <w:szCs w:val="24"/>
          <w:lang w:val="hy-AM"/>
        </w:rPr>
        <w:t>11</w:t>
      </w:r>
      <w:r w:rsidR="00124079" w:rsidRPr="00F85517">
        <w:rPr>
          <w:rFonts w:ascii="GHEA Grapalat" w:hAnsi="GHEA Grapalat" w:cs="Sylfaen"/>
          <w:sz w:val="24"/>
          <w:szCs w:val="24"/>
          <w:lang w:val="hy-AM"/>
        </w:rPr>
        <w:t xml:space="preserve">-րդ կետով 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սահմանված </w:t>
      </w:r>
      <w:r w:rsidR="007054F9" w:rsidRPr="00F85517">
        <w:rPr>
          <w:rFonts w:ascii="GHEA Grapalat" w:hAnsi="GHEA Grapalat" w:cs="Sylfaen"/>
          <w:sz w:val="24"/>
          <w:szCs w:val="24"/>
          <w:lang w:val="hy-AM"/>
        </w:rPr>
        <w:t>պահանջներին համապատասխան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 xml:space="preserve"> և ուղարկվում պատվիրատուին</w:t>
      </w:r>
      <w:r w:rsidRPr="00F8551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44112" w:rsidRPr="00544112" w:rsidRDefault="00544112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2726" w:rsidRPr="00C60AB4" w:rsidRDefault="00F34AEB" w:rsidP="00F84D91">
      <w:pPr>
        <w:numPr>
          <w:ilvl w:val="0"/>
          <w:numId w:val="7"/>
        </w:numPr>
        <w:tabs>
          <w:tab w:val="clear" w:pos="1050"/>
          <w:tab w:val="num" w:pos="1176"/>
        </w:tabs>
        <w:spacing w:after="0" w:line="240" w:lineRule="auto"/>
        <w:ind w:left="0" w:firstLine="6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85517">
        <w:rPr>
          <w:rFonts w:ascii="GHEA Grapalat" w:hAnsi="GHEA Grapalat" w:cs="Sylfaen"/>
          <w:sz w:val="24"/>
          <w:szCs w:val="24"/>
          <w:lang w:val="hy-AM"/>
        </w:rPr>
        <w:t>Փ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 xml:space="preserve">որձագիտական 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դրական 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եզրակացությ</w:t>
      </w:r>
      <w:r w:rsidRPr="00F85517">
        <w:rPr>
          <w:rFonts w:ascii="GHEA Grapalat" w:hAnsi="GHEA Grapalat" w:cs="Sylfaen"/>
          <w:sz w:val="24"/>
          <w:szCs w:val="24"/>
          <w:lang w:val="hy-AM"/>
        </w:rPr>
        <w:t>ա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ն կամ երաշխավորագ</w:t>
      </w:r>
      <w:r w:rsidRPr="00F85517">
        <w:rPr>
          <w:rFonts w:ascii="GHEA Grapalat" w:hAnsi="GHEA Grapalat" w:cs="Sylfaen"/>
          <w:sz w:val="24"/>
          <w:szCs w:val="24"/>
          <w:lang w:val="hy-AM"/>
        </w:rPr>
        <w:t>ր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ի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 գործողության ժամկետը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85517">
        <w:rPr>
          <w:rFonts w:ascii="GHEA Grapalat" w:hAnsi="GHEA Grapalat" w:cs="Sylfaen"/>
          <w:sz w:val="24"/>
          <w:szCs w:val="24"/>
          <w:lang w:val="hy-AM"/>
        </w:rPr>
        <w:t xml:space="preserve">երեք տարի է, որը լրանալուն պես 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տվյալ եզրակացություն</w:t>
      </w:r>
      <w:r w:rsidR="00B5516A" w:rsidRPr="00F85517">
        <w:rPr>
          <w:rFonts w:ascii="GHEA Grapalat" w:hAnsi="GHEA Grapalat" w:cs="Sylfaen"/>
          <w:sz w:val="24"/>
          <w:szCs w:val="24"/>
          <w:lang w:val="hy-AM"/>
        </w:rPr>
        <w:t>ը (երաշխավորագիրը)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516A" w:rsidRPr="00F85517">
        <w:rPr>
          <w:rFonts w:ascii="GHEA Grapalat" w:hAnsi="GHEA Grapalat" w:cs="Sylfaen"/>
          <w:sz w:val="24"/>
          <w:szCs w:val="24"/>
          <w:lang w:val="hy-AM"/>
        </w:rPr>
        <w:t xml:space="preserve">համարվում է </w:t>
      </w:r>
      <w:r w:rsidR="00143CF8" w:rsidRPr="00F85517">
        <w:rPr>
          <w:rFonts w:ascii="GHEA Grapalat" w:hAnsi="GHEA Grapalat" w:cs="Sylfaen"/>
          <w:sz w:val="24"/>
          <w:szCs w:val="24"/>
          <w:lang w:val="hy-AM"/>
        </w:rPr>
        <w:t>ուժը կորցրած:</w:t>
      </w:r>
    </w:p>
    <w:p w:rsidR="00C60AB4" w:rsidRDefault="00C60AB4" w:rsidP="00C60AB4">
      <w:pPr>
        <w:spacing w:after="0" w:line="240" w:lineRule="auto"/>
        <w:ind w:firstLine="33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C60AB4" w:rsidSect="00C60AB4">
      <w:footerReference w:type="default" r:id="rId8"/>
      <w:pgSz w:w="11907" w:h="16840" w:code="9"/>
      <w:pgMar w:top="431" w:right="578" w:bottom="431" w:left="1009" w:header="561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671" w:rsidRDefault="00A21671" w:rsidP="00DE43C8">
      <w:pPr>
        <w:spacing w:after="0" w:line="240" w:lineRule="auto"/>
      </w:pPr>
      <w:r>
        <w:separator/>
      </w:r>
    </w:p>
  </w:endnote>
  <w:endnote w:type="continuationSeparator" w:id="1">
    <w:p w:rsidR="00A21671" w:rsidRDefault="00A21671" w:rsidP="00DE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F23" w:rsidRDefault="00E70F23">
    <w:pPr>
      <w:pStyle w:val="Footer"/>
      <w:jc w:val="right"/>
    </w:pPr>
  </w:p>
  <w:p w:rsidR="00E70F23" w:rsidRPr="00C60AB4" w:rsidRDefault="00D82AFE">
    <w:pPr>
      <w:pStyle w:val="Footer"/>
      <w:jc w:val="right"/>
      <w:rPr>
        <w:rFonts w:ascii="GHEA Grapalat" w:hAnsi="GHEA Grapalat"/>
        <w:sz w:val="18"/>
        <w:szCs w:val="18"/>
      </w:rPr>
    </w:pPr>
    <w:r w:rsidRPr="00C60AB4">
      <w:rPr>
        <w:rFonts w:ascii="GHEA Grapalat" w:hAnsi="GHEA Grapalat"/>
        <w:sz w:val="18"/>
        <w:szCs w:val="18"/>
      </w:rPr>
      <w:fldChar w:fldCharType="begin"/>
    </w:r>
    <w:r w:rsidR="00EC6E12" w:rsidRPr="00C60AB4">
      <w:rPr>
        <w:rFonts w:ascii="GHEA Grapalat" w:hAnsi="GHEA Grapalat"/>
        <w:sz w:val="18"/>
        <w:szCs w:val="18"/>
      </w:rPr>
      <w:instrText xml:space="preserve"> PAGE   \* MERGEFORMAT </w:instrText>
    </w:r>
    <w:r w:rsidRPr="00C60AB4">
      <w:rPr>
        <w:rFonts w:ascii="GHEA Grapalat" w:hAnsi="GHEA Grapalat"/>
        <w:sz w:val="18"/>
        <w:szCs w:val="18"/>
      </w:rPr>
      <w:fldChar w:fldCharType="separate"/>
    </w:r>
    <w:r w:rsidR="00F84D91">
      <w:rPr>
        <w:rFonts w:ascii="GHEA Grapalat" w:hAnsi="GHEA Grapalat"/>
        <w:noProof/>
        <w:sz w:val="18"/>
        <w:szCs w:val="18"/>
      </w:rPr>
      <w:t>8</w:t>
    </w:r>
    <w:r w:rsidRPr="00C60AB4">
      <w:rPr>
        <w:rFonts w:ascii="GHEA Grapalat" w:hAnsi="GHEA Grapalat"/>
        <w:sz w:val="18"/>
        <w:szCs w:val="18"/>
      </w:rPr>
      <w:fldChar w:fldCharType="end"/>
    </w:r>
  </w:p>
  <w:p w:rsidR="00E70F23" w:rsidRDefault="00E70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671" w:rsidRDefault="00A21671" w:rsidP="00DE43C8">
      <w:pPr>
        <w:spacing w:after="0" w:line="240" w:lineRule="auto"/>
      </w:pPr>
      <w:r>
        <w:separator/>
      </w:r>
    </w:p>
  </w:footnote>
  <w:footnote w:type="continuationSeparator" w:id="1">
    <w:p w:rsidR="00A21671" w:rsidRDefault="00A21671" w:rsidP="00DE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9E0"/>
    <w:multiLevelType w:val="hybridMultilevel"/>
    <w:tmpl w:val="B53E92A0"/>
    <w:lvl w:ilvl="0" w:tplc="8E3C2826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>
    <w:nsid w:val="074E7B4B"/>
    <w:multiLevelType w:val="hybridMultilevel"/>
    <w:tmpl w:val="38BE3084"/>
    <w:lvl w:ilvl="0" w:tplc="B7663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1472A"/>
    <w:multiLevelType w:val="hybridMultilevel"/>
    <w:tmpl w:val="1C624E86"/>
    <w:lvl w:ilvl="0" w:tplc="14A4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EB5907"/>
    <w:multiLevelType w:val="hybridMultilevel"/>
    <w:tmpl w:val="B20CF2F4"/>
    <w:lvl w:ilvl="0" w:tplc="2CF078F0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AC5203"/>
    <w:multiLevelType w:val="hybridMultilevel"/>
    <w:tmpl w:val="E598BDDA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4177CF9"/>
    <w:multiLevelType w:val="hybridMultilevel"/>
    <w:tmpl w:val="6602DA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FD27B6"/>
    <w:multiLevelType w:val="hybridMultilevel"/>
    <w:tmpl w:val="D7F6A4F8"/>
    <w:lvl w:ilvl="0" w:tplc="8D40452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BD5AD4"/>
    <w:multiLevelType w:val="hybridMultilevel"/>
    <w:tmpl w:val="A6383C22"/>
    <w:lvl w:ilvl="0" w:tplc="B9F804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DC7A96"/>
    <w:multiLevelType w:val="hybridMultilevel"/>
    <w:tmpl w:val="4A7251A8"/>
    <w:lvl w:ilvl="0" w:tplc="2CDEC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DEC3A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5626C4"/>
    <w:multiLevelType w:val="hybridMultilevel"/>
    <w:tmpl w:val="D88E48CC"/>
    <w:lvl w:ilvl="0" w:tplc="2CDEC3A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8F6CB3"/>
    <w:multiLevelType w:val="hybridMultilevel"/>
    <w:tmpl w:val="813A048A"/>
    <w:lvl w:ilvl="0" w:tplc="82BA83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lang w:val="hy-AM"/>
      </w:rPr>
    </w:lvl>
    <w:lvl w:ilvl="1" w:tplc="C3C04F36">
      <w:start w:val="2"/>
      <w:numFmt w:val="upperRoman"/>
      <w:lvlText w:val="%2."/>
      <w:lvlJc w:val="left"/>
      <w:pPr>
        <w:tabs>
          <w:tab w:val="num" w:pos="2064"/>
        </w:tabs>
        <w:ind w:left="2064" w:hanging="720"/>
      </w:pPr>
      <w:rPr>
        <w:rFonts w:ascii="Arial" w:hAnsi="Arial" w:cs="Times New Roman" w:hint="default"/>
      </w:rPr>
    </w:lvl>
    <w:lvl w:ilvl="2" w:tplc="1DA2427E">
      <w:start w:val="1"/>
      <w:numFmt w:val="decimal"/>
      <w:lvlText w:val="%3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3" w:tplc="B1AA7CB4">
      <w:start w:val="1"/>
      <w:numFmt w:val="decimal"/>
      <w:lvlText w:val="%4"/>
      <w:lvlJc w:val="left"/>
      <w:pPr>
        <w:tabs>
          <w:tab w:val="num" w:pos="3144"/>
        </w:tabs>
        <w:ind w:left="3144" w:hanging="360"/>
      </w:pPr>
      <w:rPr>
        <w:rFonts w:hint="default"/>
        <w:i w:val="0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  <w:rPr>
        <w:rFonts w:cs="Times New Roman"/>
      </w:rPr>
    </w:lvl>
  </w:abstractNum>
  <w:abstractNum w:abstractNumId="11">
    <w:nsid w:val="47BD6906"/>
    <w:multiLevelType w:val="hybridMultilevel"/>
    <w:tmpl w:val="F8FA3274"/>
    <w:lvl w:ilvl="0" w:tplc="15C6AB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F723A"/>
    <w:multiLevelType w:val="hybridMultilevel"/>
    <w:tmpl w:val="74EE437A"/>
    <w:lvl w:ilvl="0" w:tplc="FCCEF0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2726C"/>
    <w:multiLevelType w:val="hybridMultilevel"/>
    <w:tmpl w:val="1A7C4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650FDC"/>
    <w:multiLevelType w:val="hybridMultilevel"/>
    <w:tmpl w:val="FBBC21CA"/>
    <w:lvl w:ilvl="0" w:tplc="C422E766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Times New Roman" w:hint="default"/>
        <w:b/>
        <w:i w:val="0"/>
        <w:strike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  <w:rPr>
        <w:rFonts w:cs="Times New Roman"/>
      </w:rPr>
    </w:lvl>
  </w:abstractNum>
  <w:abstractNum w:abstractNumId="15">
    <w:nsid w:val="62FB7E54"/>
    <w:multiLevelType w:val="hybridMultilevel"/>
    <w:tmpl w:val="523AFBD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740D5F0A"/>
    <w:multiLevelType w:val="hybridMultilevel"/>
    <w:tmpl w:val="372E26FC"/>
    <w:lvl w:ilvl="0" w:tplc="BA0A9A90">
      <w:start w:val="1"/>
      <w:numFmt w:val="decimal"/>
      <w:lvlText w:val="%1)"/>
      <w:lvlJc w:val="left"/>
      <w:pPr>
        <w:ind w:left="118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5"/>
  </w:num>
  <w:num w:numId="7">
    <w:abstractNumId w:val="0"/>
  </w:num>
  <w:num w:numId="8">
    <w:abstractNumId w:val="13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12"/>
  </w:num>
  <w:num w:numId="14">
    <w:abstractNumId w:val="1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224"/>
    <w:rsid w:val="00044611"/>
    <w:rsid w:val="00060A29"/>
    <w:rsid w:val="000625F1"/>
    <w:rsid w:val="000A26AC"/>
    <w:rsid w:val="000A6BB5"/>
    <w:rsid w:val="000B3619"/>
    <w:rsid w:val="000B456C"/>
    <w:rsid w:val="000F1489"/>
    <w:rsid w:val="000F673A"/>
    <w:rsid w:val="00100B32"/>
    <w:rsid w:val="0011381F"/>
    <w:rsid w:val="0011557A"/>
    <w:rsid w:val="00124079"/>
    <w:rsid w:val="00125A57"/>
    <w:rsid w:val="00130291"/>
    <w:rsid w:val="00143CF8"/>
    <w:rsid w:val="00147957"/>
    <w:rsid w:val="0015426C"/>
    <w:rsid w:val="0018413A"/>
    <w:rsid w:val="00184FBC"/>
    <w:rsid w:val="001950BD"/>
    <w:rsid w:val="001B6298"/>
    <w:rsid w:val="001C7577"/>
    <w:rsid w:val="001D697B"/>
    <w:rsid w:val="001F6CAF"/>
    <w:rsid w:val="001F7A7D"/>
    <w:rsid w:val="00202B3D"/>
    <w:rsid w:val="002251C8"/>
    <w:rsid w:val="00231FBC"/>
    <w:rsid w:val="002644F0"/>
    <w:rsid w:val="00276043"/>
    <w:rsid w:val="00282CF0"/>
    <w:rsid w:val="00290AAD"/>
    <w:rsid w:val="002A7016"/>
    <w:rsid w:val="002D3FF3"/>
    <w:rsid w:val="002D5FEA"/>
    <w:rsid w:val="00313771"/>
    <w:rsid w:val="00315D3F"/>
    <w:rsid w:val="00341DF5"/>
    <w:rsid w:val="0035374E"/>
    <w:rsid w:val="003952C7"/>
    <w:rsid w:val="00396BDF"/>
    <w:rsid w:val="003E50D6"/>
    <w:rsid w:val="003E7E18"/>
    <w:rsid w:val="003F2AD9"/>
    <w:rsid w:val="00430101"/>
    <w:rsid w:val="00430FCC"/>
    <w:rsid w:val="00445AA6"/>
    <w:rsid w:val="00457EAC"/>
    <w:rsid w:val="004713DE"/>
    <w:rsid w:val="00471591"/>
    <w:rsid w:val="00474B7C"/>
    <w:rsid w:val="004C2726"/>
    <w:rsid w:val="004C613A"/>
    <w:rsid w:val="004D1A8C"/>
    <w:rsid w:val="004E0077"/>
    <w:rsid w:val="004F5089"/>
    <w:rsid w:val="00501922"/>
    <w:rsid w:val="00502C5B"/>
    <w:rsid w:val="00523D4C"/>
    <w:rsid w:val="00525E3B"/>
    <w:rsid w:val="00530C1F"/>
    <w:rsid w:val="0053258D"/>
    <w:rsid w:val="00544112"/>
    <w:rsid w:val="00550985"/>
    <w:rsid w:val="00550C35"/>
    <w:rsid w:val="00581CE8"/>
    <w:rsid w:val="005835F9"/>
    <w:rsid w:val="005B109F"/>
    <w:rsid w:val="005B280C"/>
    <w:rsid w:val="005C7065"/>
    <w:rsid w:val="00606FD1"/>
    <w:rsid w:val="0061193F"/>
    <w:rsid w:val="00630219"/>
    <w:rsid w:val="00643255"/>
    <w:rsid w:val="0068605E"/>
    <w:rsid w:val="006A35CC"/>
    <w:rsid w:val="006C6C6D"/>
    <w:rsid w:val="006D326F"/>
    <w:rsid w:val="0070052F"/>
    <w:rsid w:val="00701ACA"/>
    <w:rsid w:val="007054F9"/>
    <w:rsid w:val="007234D0"/>
    <w:rsid w:val="0073520E"/>
    <w:rsid w:val="007571DF"/>
    <w:rsid w:val="00791D92"/>
    <w:rsid w:val="00792606"/>
    <w:rsid w:val="007A692C"/>
    <w:rsid w:val="007B57FA"/>
    <w:rsid w:val="007C74CB"/>
    <w:rsid w:val="00801B23"/>
    <w:rsid w:val="008223CD"/>
    <w:rsid w:val="00844D92"/>
    <w:rsid w:val="008609D0"/>
    <w:rsid w:val="00872990"/>
    <w:rsid w:val="00890EAA"/>
    <w:rsid w:val="008A4464"/>
    <w:rsid w:val="008A55F3"/>
    <w:rsid w:val="008C0253"/>
    <w:rsid w:val="008C4294"/>
    <w:rsid w:val="008E7178"/>
    <w:rsid w:val="008F14AA"/>
    <w:rsid w:val="009056E0"/>
    <w:rsid w:val="009175C8"/>
    <w:rsid w:val="00920E3B"/>
    <w:rsid w:val="009246B7"/>
    <w:rsid w:val="00967FB1"/>
    <w:rsid w:val="00974357"/>
    <w:rsid w:val="00977DCF"/>
    <w:rsid w:val="00995250"/>
    <w:rsid w:val="009B29AB"/>
    <w:rsid w:val="009B64D0"/>
    <w:rsid w:val="009C3BE3"/>
    <w:rsid w:val="009F4593"/>
    <w:rsid w:val="00A11C6A"/>
    <w:rsid w:val="00A16B8C"/>
    <w:rsid w:val="00A21671"/>
    <w:rsid w:val="00A23834"/>
    <w:rsid w:val="00A23D65"/>
    <w:rsid w:val="00A30D5A"/>
    <w:rsid w:val="00A32483"/>
    <w:rsid w:val="00A86085"/>
    <w:rsid w:val="00AB18A6"/>
    <w:rsid w:val="00AD35C8"/>
    <w:rsid w:val="00AE0673"/>
    <w:rsid w:val="00AE3F0E"/>
    <w:rsid w:val="00AE7ACA"/>
    <w:rsid w:val="00AF0B80"/>
    <w:rsid w:val="00AF7EBE"/>
    <w:rsid w:val="00B01F08"/>
    <w:rsid w:val="00B1465C"/>
    <w:rsid w:val="00B2241F"/>
    <w:rsid w:val="00B52B02"/>
    <w:rsid w:val="00B5516A"/>
    <w:rsid w:val="00B677D0"/>
    <w:rsid w:val="00B91651"/>
    <w:rsid w:val="00BE4106"/>
    <w:rsid w:val="00C015A0"/>
    <w:rsid w:val="00C062D3"/>
    <w:rsid w:val="00C254C2"/>
    <w:rsid w:val="00C40452"/>
    <w:rsid w:val="00C4130C"/>
    <w:rsid w:val="00C527D5"/>
    <w:rsid w:val="00C55D5A"/>
    <w:rsid w:val="00C60AB4"/>
    <w:rsid w:val="00C61F04"/>
    <w:rsid w:val="00C958AA"/>
    <w:rsid w:val="00CC3BA0"/>
    <w:rsid w:val="00CE3469"/>
    <w:rsid w:val="00CE5BBA"/>
    <w:rsid w:val="00CF1060"/>
    <w:rsid w:val="00D11A69"/>
    <w:rsid w:val="00D2341B"/>
    <w:rsid w:val="00D27512"/>
    <w:rsid w:val="00D37A5E"/>
    <w:rsid w:val="00D82AFE"/>
    <w:rsid w:val="00D95701"/>
    <w:rsid w:val="00DB6EFE"/>
    <w:rsid w:val="00DC09F1"/>
    <w:rsid w:val="00DC6CE9"/>
    <w:rsid w:val="00DD3442"/>
    <w:rsid w:val="00DE43C8"/>
    <w:rsid w:val="00DE7A3D"/>
    <w:rsid w:val="00DF1FC7"/>
    <w:rsid w:val="00E0012F"/>
    <w:rsid w:val="00E041FE"/>
    <w:rsid w:val="00E20CB6"/>
    <w:rsid w:val="00E51A64"/>
    <w:rsid w:val="00E57224"/>
    <w:rsid w:val="00E70F23"/>
    <w:rsid w:val="00EB023B"/>
    <w:rsid w:val="00EC072E"/>
    <w:rsid w:val="00EC6E12"/>
    <w:rsid w:val="00EF273E"/>
    <w:rsid w:val="00F06AE5"/>
    <w:rsid w:val="00F34AEB"/>
    <w:rsid w:val="00F44DFF"/>
    <w:rsid w:val="00F52837"/>
    <w:rsid w:val="00F65F96"/>
    <w:rsid w:val="00F748DA"/>
    <w:rsid w:val="00F74FCD"/>
    <w:rsid w:val="00F84D91"/>
    <w:rsid w:val="00F85517"/>
    <w:rsid w:val="00F94A93"/>
    <w:rsid w:val="00FB68C3"/>
    <w:rsid w:val="00FD59E3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E57224"/>
    <w:rPr>
      <w:rFonts w:cs="Times New Roman"/>
      <w:b/>
      <w:bCs/>
    </w:rPr>
  </w:style>
  <w:style w:type="paragraph" w:styleId="NormalWeb">
    <w:name w:val="Normal (Web)"/>
    <w:basedOn w:val="Normal"/>
    <w:rsid w:val="00E572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ko-K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56E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56E0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0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43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3C8"/>
  </w:style>
  <w:style w:type="paragraph" w:styleId="Footer">
    <w:name w:val="footer"/>
    <w:basedOn w:val="Normal"/>
    <w:link w:val="FooterChar"/>
    <w:uiPriority w:val="99"/>
    <w:unhideWhenUsed/>
    <w:rsid w:val="00DE43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3C8"/>
  </w:style>
  <w:style w:type="character" w:styleId="CommentReference">
    <w:name w:val="annotation reference"/>
    <w:basedOn w:val="DefaultParagraphFont"/>
    <w:semiHidden/>
    <w:rsid w:val="00C254C2"/>
    <w:rPr>
      <w:sz w:val="16"/>
      <w:szCs w:val="16"/>
    </w:rPr>
  </w:style>
  <w:style w:type="paragraph" w:styleId="CommentText">
    <w:name w:val="annotation text"/>
    <w:basedOn w:val="Normal"/>
    <w:semiHidden/>
    <w:rsid w:val="00C254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254C2"/>
    <w:rPr>
      <w:b/>
      <w:bCs/>
    </w:rPr>
  </w:style>
  <w:style w:type="paragraph" w:styleId="BalloonText">
    <w:name w:val="Balloon Text"/>
    <w:basedOn w:val="Normal"/>
    <w:semiHidden/>
    <w:rsid w:val="00C25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D9C4-72A7-4D62-B185-50FE4F69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MUD</Company>
  <LinksUpToDate>false</LinksUpToDate>
  <CharactersWithSpaces>18068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R.Alaverdyan</dc:creator>
  <cp:lastModifiedBy>a.martirosyan-c</cp:lastModifiedBy>
  <cp:revision>6</cp:revision>
  <cp:lastPrinted>2014-06-09T10:42:00Z</cp:lastPrinted>
  <dcterms:created xsi:type="dcterms:W3CDTF">2015-03-02T06:36:00Z</dcterms:created>
  <dcterms:modified xsi:type="dcterms:W3CDTF">2015-03-04T08:20:00Z</dcterms:modified>
</cp:coreProperties>
</file>