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24" w:rsidRDefault="009F4524" w:rsidP="009F4524">
      <w:pPr>
        <w:shd w:val="clear" w:color="auto" w:fill="FFFFFF"/>
        <w:spacing w:line="240" w:lineRule="auto"/>
        <w:ind w:firstLine="313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9F4524" w:rsidRDefault="009F4524" w:rsidP="009F4524">
      <w:pPr>
        <w:spacing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ՏԱՐԱԾՔԱՅԻՆ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ԿԱՌԱՎԱՐՄԱՆ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զարգացման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ՄԻԳՐԱՑԻՈՆ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ԾԱՌԱՅՈՒԹՅԱՆ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ՀԱՄԱԿԱՐԳՈՒՄ ԳՈՐԾՈՂ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«ՀԱՄԱԿԱՐԳՉԱՅԻՆ ԿԵՆՏՐՈՆ»  ՊԵՏԱԿԱՆ ՈՉ ԱՌԵՎՏՐԱՅԻՆ ԿԱԶՄԱԿԵՐՊՈՒԹՅՈՒՆԸ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ԼՈՒԾԱրԵԼՈՒ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 ԸՆԴՈՒՆՄԱՆ</w:t>
      </w:r>
    </w:p>
    <w:p w:rsidR="009F4524" w:rsidRDefault="009F4524" w:rsidP="009F4524">
      <w:pPr>
        <w:pStyle w:val="mechtex"/>
        <w:rPr>
          <w:rFonts w:ascii="GHEA Grapalat" w:hAnsi="GHEA Grapalat"/>
          <w:b/>
          <w:bCs/>
          <w:sz w:val="24"/>
          <w:szCs w:val="24"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9F4524" w:rsidTr="009F4524">
        <w:trPr>
          <w:trHeight w:val="25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4" w:rsidRDefault="009F4524">
            <w:pPr>
              <w:spacing w:line="240" w:lineRule="auto"/>
              <w:ind w:firstLine="45"/>
              <w:jc w:val="both"/>
              <w:rPr>
                <w:rFonts w:ascii="GHEA Grapalat" w:eastAsia="Calibri" w:hAnsi="GHEA Grapalat"/>
                <w:b/>
                <w:bCs/>
                <w:i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9F4524" w:rsidRPr="009F4524" w:rsidTr="009F4524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4" w:rsidRDefault="009F4524">
            <w:pPr>
              <w:spacing w:after="0" w:line="240" w:lineRule="auto"/>
              <w:ind w:right="-19" w:firstLine="54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</w:p>
          <w:p w:rsidR="009F4524" w:rsidRDefault="009F4524">
            <w:pPr>
              <w:tabs>
                <w:tab w:val="left" w:pos="267"/>
              </w:tabs>
              <w:spacing w:after="0" w:line="240" w:lineRule="auto"/>
              <w:ind w:right="-19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Նախագծի ընդունումը պայմանավորված է պետական կառավարման ապարատի օպտիմալացման, ինչպես նաև ՀՀ պետական բյուջեից կատարվող ծախսերի նվազեցման անհրաժեշտությամբ:</w:t>
            </w:r>
          </w:p>
          <w:p w:rsidR="009F4524" w:rsidRDefault="009F4524">
            <w:pPr>
              <w:spacing w:after="0" w:line="240" w:lineRule="auto"/>
              <w:ind w:firstLine="426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04.10.2016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N 02/23.16/14429-16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հանձնարարականով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տարածքային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ՏԿԶ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նախարարին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վերանայել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ոլորտում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գտնվող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ՊՈԱԿ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ԾԻԳ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նպատակահարմարությունը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հանձնարարվել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ներկայացնել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մանրամասնեցված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հիմնավորում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ՊՈԱԿ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գծով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գործառույթների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պահանջվող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ռեսուրսների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այլն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):</w:t>
            </w:r>
          </w:p>
          <w:tbl>
            <w:tblPr>
              <w:tblW w:w="13440" w:type="dxa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06"/>
              <w:gridCol w:w="3734"/>
            </w:tblGrid>
            <w:tr w:rsidR="009F4524" w:rsidRPr="009F4524">
              <w:trPr>
                <w:tblCellSpacing w:w="7" w:type="dxa"/>
              </w:trPr>
              <w:tc>
                <w:tcPr>
                  <w:tcW w:w="9681" w:type="dxa"/>
                  <w:vAlign w:val="center"/>
                  <w:hideMark/>
                </w:tcPr>
                <w:p w:rsidR="009F4524" w:rsidRDefault="009F4524">
                  <w:pPr>
                    <w:tabs>
                      <w:tab w:val="left" w:pos="343"/>
                    </w:tabs>
                    <w:spacing w:after="0" w:line="240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GHEA Grapalat" w:hAnsi="GHEA Grapalat" w:cs="Tahoma"/>
                      <w:sz w:val="24"/>
                      <w:szCs w:val="24"/>
                      <w:lang w:val="pt-BR"/>
                    </w:rPr>
                    <w:t xml:space="preserve">     </w:t>
                  </w:r>
                  <w:r>
                    <w:rPr>
                      <w:rFonts w:ascii="GHEA Grapalat" w:hAnsi="GHEA Grapalat" w:cs="Tahoma"/>
                      <w:sz w:val="24"/>
                      <w:szCs w:val="24"/>
                    </w:rPr>
                    <w:t>Ի</w:t>
                  </w:r>
                  <w:r>
                    <w:rPr>
                      <w:rFonts w:ascii="GHEA Grapalat" w:hAnsi="GHEA Grapalat" w:cs="Tahoma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Tahoma"/>
                      <w:sz w:val="24"/>
                      <w:szCs w:val="24"/>
                    </w:rPr>
                    <w:t>կատարումն</w:t>
                  </w:r>
                  <w:proofErr w:type="spellEnd"/>
                  <w:r>
                    <w:rPr>
                      <w:rFonts w:ascii="GHEA Grapalat" w:hAnsi="GHEA Grapalat" w:cs="Tahoma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GHEA Grapalat" w:hAnsi="GHEA Grapalat" w:cs="Tahoma"/>
                      <w:sz w:val="24"/>
                      <w:szCs w:val="24"/>
                    </w:rPr>
                    <w:t>ՀՀ</w:t>
                  </w:r>
                  <w:r>
                    <w:rPr>
                      <w:rFonts w:ascii="GHEA Grapalat" w:hAnsi="GHEA Grapalat" w:cs="Tahoma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GHEA Grapalat" w:hAnsi="GHEA Grapalat" w:cs="Tahoma"/>
                      <w:sz w:val="24"/>
                      <w:szCs w:val="24"/>
                    </w:rPr>
                    <w:t>ՏԿԶ</w:t>
                  </w:r>
                  <w:r>
                    <w:rPr>
                      <w:rFonts w:ascii="GHEA Grapalat" w:hAnsi="GHEA Grapalat" w:cs="Tahoma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Tahoma"/>
                      <w:sz w:val="24"/>
                      <w:szCs w:val="24"/>
                    </w:rPr>
                    <w:t>նախարարի</w:t>
                  </w:r>
                  <w:proofErr w:type="spellEnd"/>
                  <w:r>
                    <w:rPr>
                      <w:rFonts w:ascii="GHEA Grapalat" w:hAnsi="GHEA Grapalat" w:cs="Tahoma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>01.12.2016</w:t>
                  </w:r>
                  <w:r>
                    <w:rPr>
                      <w:rFonts w:ascii="GHEA Grapalat" w:hAnsi="GHEA Grapalat"/>
                      <w:sz w:val="24"/>
                      <w:szCs w:val="24"/>
                    </w:rPr>
                    <w:t>թ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.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թիվ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01/17.2/5322-16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հաձնարարականի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`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Ծառայության</w:t>
                  </w:r>
                  <w:proofErr w:type="spellEnd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կողմից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նախապատրաստ</w:t>
                  </w:r>
                  <w:r>
                    <w:rPr>
                      <w:rFonts w:ascii="GHEA Grapalat" w:hAnsi="GHEA Grapalat"/>
                      <w:sz w:val="24"/>
                      <w:szCs w:val="24"/>
                    </w:rPr>
                    <w:t>վ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ել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4"/>
                      <w:szCs w:val="24"/>
                    </w:rPr>
                    <w:t>է</w:t>
                  </w:r>
                  <w:r>
                    <w:rPr>
                      <w:rFonts w:ascii="GHEA Grapalat" w:hAnsi="GHEA Grapalat"/>
                      <w:lang w:val="pt-BR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Հայաստանի</w:t>
                  </w:r>
                  <w:proofErr w:type="spellEnd"/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Հանրապետության</w:t>
                  </w:r>
                  <w:proofErr w:type="spellEnd"/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տարածքային</w:t>
                  </w:r>
                  <w:proofErr w:type="spellEnd"/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կառավարման</w:t>
                  </w:r>
                  <w:proofErr w:type="spellEnd"/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և</w:t>
                  </w:r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զարգացման</w:t>
                  </w:r>
                  <w:proofErr w:type="spellEnd"/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նախարարության</w:t>
                  </w:r>
                  <w:proofErr w:type="spellEnd"/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միգրացիոն</w:t>
                  </w:r>
                  <w:proofErr w:type="spellEnd"/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պետական</w:t>
                  </w:r>
                  <w:proofErr w:type="spellEnd"/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ծառայության</w:t>
                  </w:r>
                  <w:proofErr w:type="spellEnd"/>
                  <w:r>
                    <w:rPr>
                      <w:rFonts w:ascii="GHEA Grapalat" w:hAnsi="GHEA Grapalat" w:cs="Tahoma"/>
                      <w:spacing w:val="-8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համակարգում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գործող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«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Համակարգչային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կենտրոն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» 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պետական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ոչ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առևտրային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կազմակերպությունը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լուծարելու</w:t>
                  </w:r>
                  <w:proofErr w:type="spellEnd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մասին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>»</w:t>
                  </w:r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4"/>
                      <w:szCs w:val="24"/>
                    </w:rPr>
                    <w:t>Հ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Հ 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կառավարությ</w:t>
                  </w:r>
                  <w:r>
                    <w:rPr>
                      <w:rFonts w:ascii="GHEA Grapalat" w:hAnsi="GHEA Grapalat"/>
                      <w:sz w:val="24"/>
                      <w:szCs w:val="24"/>
                    </w:rPr>
                    <w:t>ա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</w:t>
                  </w:r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 xml:space="preserve"> որոշման</w:t>
                  </w:r>
                  <w:r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սույն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նախագիծը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  <w:t>:</w:t>
                  </w:r>
                  <w:r>
                    <w:rPr>
                      <w:rFonts w:ascii="GHEA Grapalat" w:hAnsi="GHEA Grapalat" w:cs="Tahoma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711" w:type="dxa"/>
                  <w:vAlign w:val="center"/>
                </w:tcPr>
                <w:p w:rsidR="009F4524" w:rsidRDefault="009F4524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9F4524" w:rsidRDefault="009F4524">
            <w:pPr>
              <w:pStyle w:val="NoSpacing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Miriam"/>
                <w:sz w:val="24"/>
                <w:szCs w:val="24"/>
                <w:lang w:val="af-ZA"/>
              </w:rPr>
              <w:t xml:space="preserve">  </w:t>
            </w:r>
          </w:p>
        </w:tc>
      </w:tr>
      <w:tr w:rsidR="009F4524" w:rsidRPr="009F4524" w:rsidTr="009F4524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4" w:rsidRDefault="009F4524">
            <w:pPr>
              <w:spacing w:line="240" w:lineRule="auto"/>
              <w:ind w:firstLine="4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Ընթացիկ իրավիճակը և խնդիրները, կարգավորման նպատակը և բնույթը</w:t>
            </w:r>
          </w:p>
        </w:tc>
      </w:tr>
      <w:tr w:rsidR="009F4524" w:rsidTr="009F4524">
        <w:trPr>
          <w:trHeight w:val="52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24" w:rsidRDefault="009F4524">
            <w:pPr>
              <w:tabs>
                <w:tab w:val="left" w:pos="342"/>
                <w:tab w:val="left" w:pos="447"/>
                <w:tab w:val="left" w:pos="612"/>
                <w:tab w:val="left" w:pos="972"/>
              </w:tabs>
              <w:spacing w:after="0" w:line="240" w:lineRule="auto"/>
              <w:ind w:right="-14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Համակարգչային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առևտրային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կազմակերպությունը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ստեղծվել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4"/>
                <w:szCs w:val="24"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Miria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2003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հունիսի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26-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>
              <w:rPr>
                <w:rFonts w:ascii="GHEA Grapalat" w:hAnsi="GHEA Grapalat" w:cs="Miria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N 789-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 w:cs="Miria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գործում է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ՏԿԶՆ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միգրացիոն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(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Ծառայություն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Կենտրունն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ունի 14.5 աշխատող, 2017 թ. պետական բյուջեից հատկացումների ծավալը նախատեսված է 38812.8 հազար դրամ: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9F4524" w:rsidRDefault="009F4524">
            <w:pPr>
              <w:tabs>
                <w:tab w:val="left" w:pos="312"/>
                <w:tab w:val="left" w:pos="462"/>
              </w:tabs>
              <w:spacing w:after="0" w:line="240" w:lineRule="auto"/>
              <w:ind w:right="-14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Կենտրոնի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լուծարման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պարագայում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Ծառայությունը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Կենտրոնի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փոխարեն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իրականացնի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գործառույթները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9F4524" w:rsidRDefault="009F4524">
            <w:pPr>
              <w:spacing w:after="0" w:line="240" w:lineRule="auto"/>
              <w:ind w:right="-14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1.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Համակարգչային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ձեռք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բերում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իրականացվում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տեղեկատվական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7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բազաների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ինտերնետային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16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սպասարկումը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զարգացումը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ֆիզիկական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վիրտուալ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սերվերներից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բաղկացած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սերվերային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հանգույցի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սպասարկումը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զարգացումը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ծառայությունները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ձեռք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բերվում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&lt;&lt;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իսկ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գումարի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չափը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9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9F4524" w:rsidRDefault="009F4524">
            <w:pPr>
              <w:tabs>
                <w:tab w:val="left" w:pos="447"/>
                <w:tab w:val="left" w:pos="627"/>
              </w:tabs>
              <w:spacing w:after="0" w:line="240" w:lineRule="auto"/>
              <w:ind w:right="-14" w:firstLine="2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       2.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Կենտրոնում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իրականացվում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Ադրբեջանից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բռնագաղթած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ապաստան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հայցող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օտարերկրյա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քաղաքացիություն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չունեցող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հաշվառումը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տեղեկատվական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շտեմարանների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անձնական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ընտանեկան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թվայնացումը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Ներկայումս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Կենտրոնում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շուրջ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106700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անձնական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ընտանեկան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պարունակում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</w:t>
            </w:r>
            <w:proofErr w:type="gram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,5</w:t>
            </w:r>
            <w:proofErr w:type="gram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էջ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9F4524" w:rsidRDefault="009F4524">
            <w:pPr>
              <w:spacing w:after="0" w:line="240" w:lineRule="auto"/>
              <w:ind w:right="-14" w:firstLine="54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Թվայնացման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սկսվել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շուրջ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այժմ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թվայնացվել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անձնական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ընտանեկան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25%-</w:t>
            </w: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Թվայնացման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աշխատանքներն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ավարտին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հասցնելու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կպահանջվի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ևս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ռեսուրսներով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 </w:t>
            </w:r>
          </w:p>
          <w:p w:rsidR="009F4524" w:rsidRDefault="009F4524">
            <w:pPr>
              <w:tabs>
                <w:tab w:val="left" w:pos="627"/>
              </w:tabs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</w:t>
            </w:r>
            <w:r>
              <w:rPr>
                <w:rFonts w:ascii="GHEA Grapalat" w:hAnsi="GHEA Grapalat"/>
                <w:lang w:val="af-ZA"/>
              </w:rPr>
              <w:t xml:space="preserve">      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-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չորս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աշխատողներ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յուրաքանչյուրին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ամսական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120,0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հազար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աշխատավարձով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ներկայումս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նրանք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136,0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հազ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-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` 156,0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հազ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ամսական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աշխատավարձով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ներկայումս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196,0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հազ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),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իրականացնելու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աշխատողների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</w:t>
            </w:r>
            <w:r>
              <w:rPr>
                <w:rFonts w:ascii="GHEA Grapalat" w:hAnsi="GHEA Grapalat" w:cs="Sylfaen"/>
                <w:sz w:val="24"/>
                <w:szCs w:val="24"/>
              </w:rPr>
              <w:t>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Ադրբեջանից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բռնի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տեղահանվածների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ապաստան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հայցող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օտարերկրյա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չունեցող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անձանց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տվյալներ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պարունակող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քարտադարանների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նրանցում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գտնվող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հաշվառման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տրամադրման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9F4524" w:rsidRDefault="009F4524">
            <w:pPr>
              <w:tabs>
                <w:tab w:val="left" w:pos="612"/>
              </w:tabs>
              <w:spacing w:after="0" w:line="240" w:lineRule="auto"/>
              <w:ind w:right="-14" w:firstLine="54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կատարումը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գործնականում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կազմակերպել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Կենտրոնի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ներկայումս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զբաղեցրած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տարածքների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որտեղ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գտնվում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փաստաթղթային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ռեսուրսները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անձնական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ընտանեկան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):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զբաղեցնում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շուրջ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100 </w:t>
            </w:r>
            <w:r>
              <w:rPr>
                <w:rFonts w:ascii="GHEA Grapalat" w:hAnsi="GHEA Grapalat" w:cs="Sylfaen"/>
                <w:sz w:val="24"/>
                <w:szCs w:val="24"/>
              </w:rPr>
              <w:t>ք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>
              <w:rPr>
                <w:rFonts w:ascii="GHEA Grapalat" w:hAnsi="GHEA Grapalat" w:cs="Sylfaen"/>
                <w:sz w:val="24"/>
                <w:szCs w:val="24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տարածք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տարածքներում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գտնվում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սարքավորումներով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կահավորված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5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աշխատատեղեր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9F4524" w:rsidRDefault="009F4524">
            <w:pPr>
              <w:spacing w:after="0" w:line="240" w:lineRule="auto"/>
              <w:ind w:right="-14" w:firstLine="54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3.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նշվածից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</w:t>
            </w:r>
            <w:r>
              <w:rPr>
                <w:rFonts w:ascii="GHEA Grapalat" w:hAnsi="GHEA Grapalat"/>
                <w:sz w:val="24"/>
                <w:szCs w:val="24"/>
              </w:rPr>
              <w:t>առայության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աշխատակազմ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թվաքանակը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2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հաստիքային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միավորով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9F4524" w:rsidRDefault="009F4524">
            <w:pPr>
              <w:spacing w:after="0" w:line="240" w:lineRule="auto"/>
              <w:ind w:left="522" w:right="-14" w:firstLine="25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</w:t>
            </w:r>
          </w:p>
          <w:p w:rsidR="009F4524" w:rsidRDefault="009F4524">
            <w:pPr>
              <w:spacing w:after="0" w:line="240" w:lineRule="auto"/>
              <w:ind w:right="-14" w:firstLine="54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հաստիքային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կիրականացնի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ձեռք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բերված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համակարգչային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սպասարկվող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ծրագրային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տեղեկատվական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շահագործման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առաջացող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ներկայացումը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սպասարկող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կազմակերպությանը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վերահսկողությունը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կատարելագործմանն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բարելավմանն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ուղղված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մշակումը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ներկայացումը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սպասարկում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կազմակերպությանը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: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մասնագետի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ամսական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դրույքաչափ</w:t>
            </w: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` 175,932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</w:p>
          <w:p w:rsidR="009F4524" w:rsidRDefault="009F4524">
            <w:pPr>
              <w:tabs>
                <w:tab w:val="left" w:pos="807"/>
              </w:tabs>
              <w:spacing w:after="0" w:line="240" w:lineRule="auto"/>
              <w:ind w:right="-1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-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հաստիքային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</w:t>
            </w:r>
            <w:r>
              <w:rPr>
                <w:rFonts w:ascii="GHEA Grapalat" w:hAnsi="GHEA Grapalat"/>
                <w:sz w:val="24"/>
                <w:szCs w:val="24"/>
              </w:rPr>
              <w:t>առայության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sms.mta.am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կայք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էջում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&lt;&lt;tundarc.am&gt;&gt;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տեղադրումը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նորացումը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</w:t>
            </w:r>
            <w:r>
              <w:rPr>
                <w:rFonts w:ascii="GHEA Grapalat" w:hAnsi="GHEA Grapalat"/>
                <w:sz w:val="24"/>
                <w:szCs w:val="24"/>
              </w:rPr>
              <w:t>առայության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շահագործվող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Mulberry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կլիենտային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աշխատակիցներին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խորհրդատվությունը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Առաջատար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մասնագետի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ամսական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դրույքաչափ</w:t>
            </w: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` 129,634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9F4524" w:rsidRDefault="009F4524">
            <w:pPr>
              <w:spacing w:after="0" w:line="240" w:lineRule="auto"/>
              <w:ind w:right="-14" w:firstLine="54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Բոլոր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կազմակերպելու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կպահանջվեն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ծախսերը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9F4524" w:rsidRDefault="009F4524" w:rsidP="00DE31A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Համակարգչային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ծրագրերի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ձեռք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ab/>
              <w:t xml:space="preserve">- 9000,0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հազ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  <w:p w:rsidR="009F4524" w:rsidRDefault="009F4524" w:rsidP="00DE31A9">
            <w:pPr>
              <w:numPr>
                <w:ilvl w:val="0"/>
                <w:numId w:val="1"/>
              </w:numPr>
              <w:spacing w:after="0" w:line="240" w:lineRule="auto"/>
              <w:ind w:left="1066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աշխատողներին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</w:p>
          <w:p w:rsidR="009F4524" w:rsidRDefault="009F4524">
            <w:pPr>
              <w:spacing w:after="0" w:line="240" w:lineRule="auto"/>
              <w:ind w:left="1066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վարձատրություն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ab/>
              <w:t xml:space="preserve">- 7632,0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հազ.դրամ</w:t>
            </w:r>
            <w:proofErr w:type="spellEnd"/>
          </w:p>
          <w:p w:rsidR="009F4524" w:rsidRDefault="009F4524">
            <w:pPr>
              <w:spacing w:after="0" w:line="240" w:lineRule="auto"/>
              <w:ind w:left="1065"/>
              <w:rPr>
                <w:rFonts w:ascii="GHEA Grapalat" w:hAnsi="GHEA Grapalat"/>
                <w:sz w:val="24"/>
                <w:szCs w:val="24"/>
              </w:rPr>
            </w:pPr>
          </w:p>
          <w:p w:rsidR="009F4524" w:rsidRDefault="009F4524" w:rsidP="00DE31A9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ծառայողներին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ab/>
              <w:t xml:space="preserve">                                                       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u w:val="single"/>
              </w:rPr>
              <w:t>աշխատանքի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u w:val="single"/>
              </w:rPr>
              <w:t>վարձատրություն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u w:val="single"/>
              </w:rPr>
              <w:tab/>
            </w:r>
            <w:r>
              <w:rPr>
                <w:rFonts w:ascii="GHEA Grapalat" w:hAnsi="GHEA Grapalat"/>
                <w:sz w:val="24"/>
                <w:szCs w:val="24"/>
                <w:u w:val="single"/>
              </w:rPr>
              <w:tab/>
              <w:t xml:space="preserve">          - 3972,3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u w:val="single"/>
              </w:rPr>
              <w:t>հազ.դրամ</w:t>
            </w:r>
            <w:proofErr w:type="spellEnd"/>
          </w:p>
          <w:p w:rsidR="009F4524" w:rsidRDefault="009F4524">
            <w:pPr>
              <w:spacing w:line="240" w:lineRule="auto"/>
              <w:ind w:left="1065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Ընդամենը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`</w:t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ab/>
              <w:t xml:space="preserve">         - 20604,3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հազ.դրամ</w:t>
            </w:r>
            <w:proofErr w:type="spellEnd"/>
          </w:p>
          <w:p w:rsidR="009F4524" w:rsidRDefault="009F4524">
            <w:pPr>
              <w:tabs>
                <w:tab w:val="left" w:pos="642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Բացի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9.0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հատկացնել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ՏԿԶ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` &lt;&lt;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Ոչ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ակտիվների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գծով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ծախսեր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&gt;&gt;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հոդվածին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ձեռքբերման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9F4524" w:rsidRDefault="009F4524">
            <w:pPr>
              <w:tabs>
                <w:tab w:val="left" w:pos="402"/>
              </w:tabs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Այսպիսով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տնտեսվող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գումարի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չափը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Sylfaen"/>
                <w:sz w:val="24"/>
                <w:szCs w:val="24"/>
              </w:rPr>
              <w:t>կկազմի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 9208,5</w:t>
            </w:r>
            <w:proofErr w:type="gram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հազ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9F4524" w:rsidRDefault="009F452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Սկսած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4-րդ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տարվանից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(2020 թ-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կավարտվեն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թվայնացման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տնտեսվող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գումարներին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կավելացվի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պայմանագրային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աշխատողների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աշխատավարձի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` 7632,0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հազ.դրամ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գումարը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  <w:r>
              <w:rPr>
                <w:rFonts w:ascii="GHEA Grapalat" w:hAnsi="GHEA Grapalat"/>
              </w:rPr>
              <w:tab/>
            </w:r>
          </w:p>
          <w:p w:rsidR="009F4524" w:rsidRDefault="009F452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</w:p>
        </w:tc>
      </w:tr>
      <w:tr w:rsidR="009F4524" w:rsidTr="009F4524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4" w:rsidRDefault="009F4524">
            <w:pPr>
              <w:spacing w:line="240" w:lineRule="auto"/>
              <w:ind w:firstLine="45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lastRenderedPageBreak/>
              <w:t>Տվյալ</w:t>
            </w:r>
            <w:proofErr w:type="spellEnd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քաղաքականությունը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</w:tr>
      <w:tr w:rsidR="009F4524" w:rsidTr="009F4524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4" w:rsidRDefault="009F4524">
            <w:pPr>
              <w:spacing w:line="240" w:lineRule="auto"/>
              <w:jc w:val="both"/>
              <w:rPr>
                <w:rFonts w:ascii="GHEA Grapalat" w:eastAsia="Calibri" w:hAnsi="GHEA Grapalat"/>
                <w:bCs/>
                <w:color w:val="FF0000"/>
                <w:kern w:val="16"/>
                <w:sz w:val="24"/>
                <w:szCs w:val="24"/>
              </w:rPr>
            </w:pPr>
            <w:r>
              <w:rPr>
                <w:rFonts w:ascii="GHEA Grapalat" w:eastAsia="Calibri" w:hAnsi="GHEA Grapalat"/>
                <w:bCs/>
                <w:color w:val="FF0000"/>
                <w:kern w:val="16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Նախագծի ընդունմամբ տվյալ բնագավառում իրականացվող քաղաքականության փոփոխություն չի նախատեսվում:</w:t>
            </w:r>
            <w:r>
              <w:rPr>
                <w:rFonts w:ascii="GHEA Grapalat" w:eastAsia="Calibri" w:hAnsi="GHEA Grapalat"/>
                <w:bCs/>
                <w:color w:val="FF0000"/>
                <w:kern w:val="16"/>
                <w:sz w:val="24"/>
                <w:szCs w:val="24"/>
              </w:rPr>
              <w:t xml:space="preserve"> </w:t>
            </w:r>
          </w:p>
        </w:tc>
      </w:tr>
      <w:tr w:rsidR="009F4524" w:rsidTr="009F4524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4" w:rsidRDefault="009F4524">
            <w:pPr>
              <w:spacing w:line="240" w:lineRule="auto"/>
              <w:ind w:firstLine="45"/>
              <w:jc w:val="both"/>
              <w:rPr>
                <w:rFonts w:ascii="GHEA Grapalat" w:eastAsia="Calibri" w:hAnsi="GHEA Grapalat"/>
                <w:b/>
                <w:bCs/>
                <w:i/>
                <w:kern w:val="16"/>
                <w:sz w:val="24"/>
                <w:szCs w:val="24"/>
              </w:rPr>
            </w:pPr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գործընթացում</w:t>
            </w:r>
            <w:proofErr w:type="spellEnd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ներգրավված</w:t>
            </w:r>
            <w:proofErr w:type="spellEnd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ինստիտուտները</w:t>
            </w:r>
            <w:proofErr w:type="spellEnd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անձիք</w:t>
            </w:r>
            <w:proofErr w:type="spellEnd"/>
          </w:p>
        </w:tc>
      </w:tr>
      <w:tr w:rsidR="009F4524" w:rsidTr="009F4524">
        <w:trPr>
          <w:trHeight w:val="41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4" w:rsidRDefault="009F4524">
            <w:pPr>
              <w:spacing w:line="240" w:lineRule="auto"/>
              <w:ind w:firstLine="45"/>
              <w:jc w:val="both"/>
              <w:rPr>
                <w:rFonts w:ascii="GHEA Grapalat" w:eastAsia="Calibri" w:hAnsi="GHEA Grapalat"/>
                <w:bCs/>
                <w:color w:val="FF0000"/>
                <w:kern w:val="16"/>
                <w:sz w:val="24"/>
                <w:szCs w:val="24"/>
              </w:rPr>
            </w:pPr>
            <w:proofErr w:type="spellStart"/>
            <w:r>
              <w:rPr>
                <w:rFonts w:ascii="GHEA Grapalat" w:eastAsia="Calibri" w:hAnsi="GHEA Grapalat"/>
                <w:bCs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eastAsia="Calibri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Cs/>
                <w:sz w:val="24"/>
                <w:szCs w:val="24"/>
              </w:rPr>
              <w:t>մշակվել</w:t>
            </w:r>
            <w:proofErr w:type="spellEnd"/>
            <w:r>
              <w:rPr>
                <w:rFonts w:ascii="GHEA Grapalat" w:eastAsia="Calibri" w:hAnsi="GHEA Grapalat"/>
                <w:bCs/>
                <w:sz w:val="24"/>
                <w:szCs w:val="24"/>
              </w:rPr>
              <w:t xml:space="preserve"> է ՀՀ ՏԿԶՆ </w:t>
            </w:r>
            <w:proofErr w:type="spellStart"/>
            <w:r>
              <w:rPr>
                <w:rFonts w:ascii="GHEA Grapalat" w:eastAsia="Calibri" w:hAnsi="GHEA Grapalat"/>
                <w:bCs/>
                <w:sz w:val="24"/>
                <w:szCs w:val="24"/>
              </w:rPr>
              <w:t>միգրացիոն</w:t>
            </w:r>
            <w:proofErr w:type="spellEnd"/>
            <w:r>
              <w:rPr>
                <w:rFonts w:ascii="GHEA Grapalat" w:eastAsia="Calibri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Cs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Calibri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Cs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eastAsia="Calibri" w:hAnsi="GHEA Grapalat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eastAsia="Calibri" w:hAnsi="GHEA Grapalat"/>
                <w:bCs/>
                <w:sz w:val="24"/>
                <w:szCs w:val="24"/>
              </w:rPr>
              <w:t>աշխատակազմի</w:t>
            </w:r>
            <w:proofErr w:type="spellEnd"/>
            <w:r>
              <w:rPr>
                <w:rFonts w:ascii="GHEA Grapalat" w:eastAsia="Calibri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Cs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eastAsia="Calibri" w:hAnsi="GHEA Grapalat"/>
                <w:bCs/>
                <w:sz w:val="24"/>
                <w:szCs w:val="24"/>
              </w:rPr>
              <w:t>:</w:t>
            </w:r>
          </w:p>
        </w:tc>
      </w:tr>
      <w:tr w:rsidR="009F4524" w:rsidTr="009F4524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4" w:rsidRDefault="009F4524">
            <w:pPr>
              <w:spacing w:line="240" w:lineRule="auto"/>
              <w:ind w:firstLine="45"/>
              <w:jc w:val="both"/>
              <w:rPr>
                <w:rFonts w:ascii="GHEA Grapalat" w:eastAsia="Calibri" w:hAnsi="GHEA Grapalat"/>
                <w:b/>
                <w:bCs/>
                <w:i/>
                <w:kern w:val="16"/>
                <w:sz w:val="24"/>
                <w:szCs w:val="24"/>
              </w:rPr>
            </w:pP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bCs/>
                <w:i/>
                <w:sz w:val="24"/>
                <w:szCs w:val="24"/>
              </w:rPr>
              <w:t>արդյունքը</w:t>
            </w:r>
            <w:proofErr w:type="spellEnd"/>
          </w:p>
        </w:tc>
      </w:tr>
      <w:tr w:rsidR="009F4524" w:rsidTr="009F4524">
        <w:trPr>
          <w:trHeight w:val="47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4" w:rsidRDefault="009F4524">
            <w:pPr>
              <w:spacing w:line="240" w:lineRule="auto"/>
              <w:ind w:firstLine="284"/>
              <w:jc w:val="both"/>
              <w:rPr>
                <w:rFonts w:ascii="GHEA Grapalat" w:eastAsia="Calibri" w:hAnsi="GHEA Grapalat"/>
                <w:bCs/>
                <w:color w:val="FF0000"/>
                <w:kern w:val="16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կհանգեցնի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բյուջեից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կատարվող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նվազեցմանը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9F4524" w:rsidRDefault="009F4524" w:rsidP="009F4524">
      <w:pPr>
        <w:spacing w:line="240" w:lineRule="auto"/>
        <w:rPr>
          <w:rFonts w:ascii="GHEA Grapalat" w:hAnsi="GHEA Grapalat"/>
          <w:sz w:val="24"/>
          <w:szCs w:val="24"/>
        </w:rPr>
      </w:pPr>
    </w:p>
    <w:p w:rsidR="009F4524" w:rsidRDefault="009F4524" w:rsidP="009F4524">
      <w:pPr>
        <w:spacing w:line="240" w:lineRule="auto"/>
        <w:rPr>
          <w:rFonts w:ascii="GHEA Grapalat" w:hAnsi="GHEA Grapalat"/>
          <w:sz w:val="24"/>
          <w:szCs w:val="24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ind w:left="2832" w:firstLine="708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F4524" w:rsidRPr="009F4524" w:rsidRDefault="009F4524" w:rsidP="009F4524">
      <w:pPr>
        <w:pStyle w:val="NoSpacing"/>
        <w:ind w:left="2832" w:firstLine="708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</w:t>
      </w:r>
      <w:r w:rsidRPr="009F4524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9F4524" w:rsidRPr="009F4524" w:rsidRDefault="009F4524" w:rsidP="009F452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lang w:val="hy-AM"/>
        </w:rPr>
      </w:pPr>
    </w:p>
    <w:p w:rsidR="009F4524" w:rsidRPr="009F4524" w:rsidRDefault="009F4524" w:rsidP="009F4524">
      <w:pPr>
        <w:pStyle w:val="NoSpacing"/>
        <w:jc w:val="center"/>
        <w:rPr>
          <w:sz w:val="24"/>
          <w:szCs w:val="24"/>
          <w:lang w:val="hy-AM"/>
        </w:rPr>
      </w:pPr>
      <w:r w:rsidRPr="009F4524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F45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4524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F45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4524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9F45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4524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9F45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4524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9F45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4524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</w:p>
    <w:p w:rsidR="009F4524" w:rsidRPr="009F4524" w:rsidRDefault="009F4524" w:rsidP="009F4524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F4524">
        <w:rPr>
          <w:rFonts w:ascii="GHEA Grapalat" w:hAnsi="GHEA Grapalat" w:cs="Sylfaen"/>
          <w:b/>
          <w:sz w:val="24"/>
          <w:szCs w:val="24"/>
          <w:lang w:val="hy-AM"/>
        </w:rPr>
        <w:t>ՓՈՓՈԽՈՒԹՅՈՒՆՆԵՐ և ԼՐԱՑՈՒՄՆԵՐ ԿԱՏԱՐԵԼՈՒ</w:t>
      </w:r>
      <w:r w:rsidRPr="009F45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4524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9F45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4524">
        <w:rPr>
          <w:rFonts w:ascii="GHEA Grapalat" w:hAnsi="GHEA Grapalat" w:cs="Sylfaen"/>
          <w:b/>
          <w:sz w:val="24"/>
          <w:szCs w:val="24"/>
          <w:lang w:val="hy-AM"/>
        </w:rPr>
        <w:t>ԿԱՄ</w:t>
      </w:r>
    </w:p>
    <w:p w:rsidR="009F4524" w:rsidRDefault="009F4524" w:rsidP="009F4524">
      <w:pPr>
        <w:pStyle w:val="NoSpacing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9F4524" w:rsidRDefault="009F4524" w:rsidP="009F4524">
      <w:pPr>
        <w:pStyle w:val="NoSpacing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F4524" w:rsidRDefault="009F4524" w:rsidP="009F4524">
      <w:pPr>
        <w:pStyle w:val="NoSpacing"/>
        <w:rPr>
          <w:rFonts w:ascii="GHEA Grapalat" w:hAnsi="GHEA Grapalat"/>
          <w:b/>
          <w:sz w:val="24"/>
          <w:szCs w:val="24"/>
          <w:lang w:val="en-US"/>
        </w:rPr>
      </w:pPr>
    </w:p>
    <w:p w:rsidR="009F4524" w:rsidRDefault="009F4524" w:rsidP="009F4524">
      <w:pPr>
        <w:pStyle w:val="mechtex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տարածքային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կառավարման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և</w:t>
      </w:r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միգրացիոն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ծառայության</w:t>
      </w:r>
      <w:proofErr w:type="spellEnd"/>
      <w:r>
        <w:rPr>
          <w:rFonts w:ascii="GHEA Grapalat" w:hAnsi="GHEA Grapalat" w:cs="Tahoma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համակարգում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գործող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Համակարգչային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proofErr w:type="gramStart"/>
      <w:r>
        <w:rPr>
          <w:rFonts w:ascii="GHEA Grapalat" w:hAnsi="GHEA Grapalat"/>
          <w:sz w:val="24"/>
          <w:szCs w:val="24"/>
        </w:rPr>
        <w:t xml:space="preserve">» 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ոչ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առևտրային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լուծարելու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ընդունման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առնչությամբ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այլ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իրավական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ակտերում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 w:cs="Calibri"/>
          <w:sz w:val="24"/>
          <w:szCs w:val="24"/>
          <w:lang w:val="af-ZA"/>
        </w:rPr>
        <w:t xml:space="preserve"> /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լրացումներ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կատարելու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չկա</w:t>
      </w:r>
      <w:r>
        <w:rPr>
          <w:rFonts w:ascii="GHEA Grapalat" w:hAnsi="GHEA Grapalat" w:cs="Calibri"/>
          <w:sz w:val="24"/>
          <w:szCs w:val="24"/>
          <w:lang w:val="af-ZA"/>
        </w:rPr>
        <w:t>:</w:t>
      </w:r>
    </w:p>
    <w:p w:rsidR="009F4524" w:rsidRDefault="009F4524" w:rsidP="009F4524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F4524" w:rsidRDefault="009F4524" w:rsidP="009F4524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</w:p>
    <w:p w:rsidR="009F4524" w:rsidRDefault="009F4524" w:rsidP="009F4524">
      <w:pPr>
        <w:spacing w:line="240" w:lineRule="auto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ՏԵՂԵԿԱՆՔ</w:t>
      </w:r>
    </w:p>
    <w:p w:rsidR="009F4524" w:rsidRDefault="009F4524" w:rsidP="009F4524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ՆԱԽԱԳԾԻ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ԸՆԴՈՒՆՄԱՆ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ՏԵՂԱԿԱՆ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ԻՆՔՆԱԿԱՌԱՎԱՐՄԱՆ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ՄԱՐՄԻՆՆԵՐԻ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ԲՅՈՒՋԵՆԵՐՈՒՄ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ԾԱԽՍԵՐԻ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և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ԵԿԱՄՈՒՏՆԵՐԻ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ԷԱԿԱՆ </w:t>
      </w:r>
      <w:r>
        <w:rPr>
          <w:rFonts w:ascii="GHEA Grapalat" w:hAnsi="GHEA Grapalat"/>
          <w:b/>
          <w:sz w:val="24"/>
          <w:szCs w:val="24"/>
          <w:lang w:val="af-ZA"/>
        </w:rPr>
        <w:t>ԱՎԵԼԱՑՄԱՆ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ՆՎԱԶԵՑՄԱՆ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:rsidR="009F4524" w:rsidRDefault="009F4524" w:rsidP="009F4524">
      <w:pPr>
        <w:pStyle w:val="BodyText"/>
        <w:ind w:firstLine="720"/>
        <w:rPr>
          <w:rFonts w:ascii="GHEA Grapalat" w:hAnsi="GHEA Grapalat"/>
          <w:lang w:val="af-ZA"/>
        </w:rPr>
      </w:pPr>
    </w:p>
    <w:p w:rsidR="009F4524" w:rsidRDefault="009F4524" w:rsidP="009F4524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>
        <w:rPr>
          <w:rFonts w:ascii="GHEA Grapalat" w:hAnsi="GHEA Grapalat"/>
          <w:sz w:val="24"/>
          <w:szCs w:val="24"/>
          <w:lang w:val="af-ZA"/>
        </w:rPr>
        <w:t>«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տարածքային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կառավարման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զարգացման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միգրացիոն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ծառայության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/>
          <w:sz w:val="24"/>
          <w:szCs w:val="24"/>
          <w:lang w:val="hy-AM"/>
        </w:rPr>
        <w:t>համակարգում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/>
          <w:sz w:val="24"/>
          <w:szCs w:val="24"/>
          <w:lang w:val="hy-AM"/>
        </w:rPr>
        <w:t>գործող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9F4524">
        <w:rPr>
          <w:rFonts w:ascii="GHEA Grapalat" w:hAnsi="GHEA Grapalat"/>
          <w:sz w:val="24"/>
          <w:szCs w:val="24"/>
          <w:lang w:val="hy-AM"/>
        </w:rPr>
        <w:t>Համակարգչային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/>
          <w:sz w:val="24"/>
          <w:szCs w:val="24"/>
          <w:lang w:val="hy-AM"/>
        </w:rPr>
        <w:t>կենտրոն</w:t>
      </w:r>
      <w:r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9F4524"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/>
          <w:sz w:val="24"/>
          <w:szCs w:val="24"/>
          <w:lang w:val="hy-AM"/>
        </w:rPr>
        <w:t>կազմակերպությունը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լուծարելու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F4524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>» Հայաստանի Հանրապետության կառավարության որոշման նախագծի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ընդունման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2017 թվականի </w:t>
      </w:r>
      <w:r>
        <w:rPr>
          <w:rFonts w:ascii="GHEA Grapalat" w:hAnsi="GHEA Grapalat"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նախատեսվում է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ծախսերի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նվազեցում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9208,5 </w:t>
      </w:r>
      <w:r>
        <w:rPr>
          <w:rFonts w:ascii="GHEA Grapalat" w:hAnsi="GHEA Grapalat"/>
          <w:sz w:val="24"/>
          <w:szCs w:val="24"/>
          <w:lang w:val="af-ZA"/>
        </w:rPr>
        <w:t>հազար դրամի չափով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BF108D" w:rsidRPr="009F4524" w:rsidRDefault="00BF108D">
      <w:pPr>
        <w:rPr>
          <w:lang w:val="af-ZA"/>
        </w:rPr>
      </w:pPr>
      <w:bookmarkStart w:id="0" w:name="_GoBack"/>
      <w:bookmarkEnd w:id="0"/>
    </w:p>
    <w:sectPr w:rsidR="00BF108D" w:rsidRPr="009F4524" w:rsidSect="009F4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charset w:val="B1"/>
    <w:family w:val="auto"/>
    <w:pitch w:val="variable"/>
    <w:sig w:usb0="00000801" w:usb1="00000000" w:usb2="00000000" w:usb3="00000000" w:csb0="0000002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E12EB"/>
    <w:multiLevelType w:val="hybridMultilevel"/>
    <w:tmpl w:val="484C0806"/>
    <w:lvl w:ilvl="0" w:tplc="5BBEDEF6">
      <w:start w:val="120"/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64"/>
    <w:rsid w:val="009F4524"/>
    <w:rsid w:val="00BF108D"/>
    <w:rsid w:val="00E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E3587-3652-45FC-8619-F937FB8F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52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5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524"/>
    <w:pPr>
      <w:spacing w:after="120" w:line="240" w:lineRule="auto"/>
    </w:pPr>
    <w:rPr>
      <w:rFonts w:ascii="Arial Armenian" w:hAnsi="Arial Armeni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524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9F452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mechtexChar">
    <w:name w:val="mechtex Char"/>
    <w:link w:val="mechtex"/>
    <w:locked/>
    <w:rsid w:val="009F452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F4524"/>
    <w:pPr>
      <w:spacing w:after="0" w:line="240" w:lineRule="auto"/>
      <w:jc w:val="center"/>
    </w:pPr>
    <w:rPr>
      <w:rFonts w:ascii="Arial Armenian" w:eastAsiaTheme="minorHAnsi" w:hAnsi="Arial Armenian" w:cstheme="minorBidi"/>
      <w:lang w:eastAsia="ru-RU"/>
    </w:rPr>
  </w:style>
  <w:style w:type="character" w:styleId="Strong">
    <w:name w:val="Strong"/>
    <w:basedOn w:val="DefaultParagraphFont"/>
    <w:uiPriority w:val="22"/>
    <w:qFormat/>
    <w:rsid w:val="009F4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2016-12-13T13:55:00Z</dcterms:created>
  <dcterms:modified xsi:type="dcterms:W3CDTF">2016-12-13T13:56:00Z</dcterms:modified>
</cp:coreProperties>
</file>