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57" w:rsidRDefault="006D5A57" w:rsidP="006D5A57">
      <w:pPr>
        <w:ind w:left="-900"/>
        <w:jc w:val="right"/>
        <w:rPr>
          <w:rFonts w:ascii="GHEA Grapalat" w:hAnsi="GHEA Grapalat" w:cs="Sylfaen"/>
          <w:b/>
          <w:bCs/>
          <w:i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b/>
          <w:sz w:val="20"/>
          <w:szCs w:val="20"/>
          <w:u w:val="single"/>
          <w:lang w:val="hy-AM"/>
        </w:rPr>
        <w:t xml:space="preserve">ՆԱԽԱԳԻԾ </w:t>
      </w:r>
    </w:p>
    <w:p w:rsidR="006D5A57" w:rsidRDefault="006D5A57" w:rsidP="006D5A57">
      <w:pPr>
        <w:ind w:left="-90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6D5A57" w:rsidRDefault="006D5A57" w:rsidP="006D5A57">
      <w:pPr>
        <w:ind w:left="-900"/>
        <w:jc w:val="center"/>
        <w:rPr>
          <w:rFonts w:ascii="GHEA Grapalat" w:hAnsi="GHEA Grapalat" w:cs="Sylfaen"/>
          <w:b/>
          <w:bCs/>
          <w:i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ԿԱՌԱՎԱՐՈՒԹՅՈՒՆ </w:t>
      </w:r>
    </w:p>
    <w:p w:rsidR="006D5A57" w:rsidRDefault="006D5A57" w:rsidP="006D5A57">
      <w:pPr>
        <w:ind w:left="-900"/>
        <w:jc w:val="center"/>
        <w:rPr>
          <w:rFonts w:ascii="GHEA Grapalat" w:hAnsi="GHEA Grapalat" w:cs="Sylfaen"/>
          <w:b/>
          <w:bCs/>
          <w:i/>
          <w:lang w:val="hy-AM"/>
        </w:rPr>
      </w:pPr>
      <w:r>
        <w:rPr>
          <w:rFonts w:ascii="GHEA Grapalat" w:hAnsi="GHEA Grapalat" w:cs="Sylfaen"/>
          <w:b/>
          <w:lang w:val="hy-AM"/>
        </w:rPr>
        <w:t>ՈՐՈՇՈՒՄ</w:t>
      </w:r>
    </w:p>
    <w:p w:rsidR="006D5A57" w:rsidRDefault="006D5A57" w:rsidP="006D5A57">
      <w:pPr>
        <w:ind w:left="-900" w:firstLine="547"/>
        <w:jc w:val="center"/>
        <w:rPr>
          <w:rFonts w:ascii="GHEA Grapalat" w:hAnsi="GHEA Grapalat" w:cs="Sylfaen"/>
          <w:bCs/>
          <w:i/>
          <w:lang w:val="hy-AM"/>
        </w:rPr>
      </w:pPr>
      <w:r>
        <w:rPr>
          <w:rFonts w:ascii="GHEA Grapalat" w:hAnsi="GHEA Grapalat" w:cs="Sylfaen"/>
          <w:lang w:val="hy-AM"/>
        </w:rPr>
        <w:t>«....»    ...............   2018թ.   N    -Ա</w:t>
      </w:r>
    </w:p>
    <w:p w:rsidR="006D5A57" w:rsidRDefault="006D5A57" w:rsidP="006D5A57">
      <w:pPr>
        <w:ind w:left="36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lang w:val="hy-AM"/>
        </w:rPr>
      </w:pPr>
    </w:p>
    <w:p w:rsidR="006D5A57" w:rsidRDefault="006D5A57" w:rsidP="006D5A5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shd w:val="clear" w:color="auto" w:fill="FFFFFF"/>
        </w:rPr>
      </w:pPr>
      <w:r>
        <w:rPr>
          <w:rFonts w:ascii="GHEA Grapalat" w:hAnsi="GHEA Grapalat"/>
          <w:b/>
          <w:lang w:val="hy-AM"/>
        </w:rPr>
        <w:t>ՀԱՅԱՍՏԱՆԻ ՀԱՆՐԱՊԵՏՈՒԹՅԱՆ ԿԱՌԱՎԱՐՈՒԹՅԱՆ 2018 ԹՎԱԿԱՆԻ ՄԱՐՏԻ 29-Ի ԹԻՎ 321-Ա ՈՐՈՇՄԱՆ ՄԵՋ ՓՈՓՈԽՈՒԹՅՈՒՆ ԿԱՏԱՐԵԼՈՒ ՄԱՍԻՆ</w:t>
      </w:r>
    </w:p>
    <w:p w:rsidR="006D5A57" w:rsidRDefault="006D5A57" w:rsidP="006D5A57">
      <w:pPr>
        <w:pStyle w:val="norm"/>
        <w:spacing w:line="276" w:lineRule="auto"/>
        <w:ind w:firstLine="706"/>
        <w:rPr>
          <w:rFonts w:ascii="GHEA Grapalat" w:hAnsi="GHEA Grapalat" w:cs="Sylfaen"/>
          <w:sz w:val="24"/>
          <w:szCs w:val="24"/>
        </w:rPr>
      </w:pPr>
    </w:p>
    <w:p w:rsidR="006D5A57" w:rsidRDefault="006D5A57" w:rsidP="006D5A57">
      <w:pPr>
        <w:pStyle w:val="norm"/>
        <w:spacing w:line="276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</w:p>
    <w:p w:rsidR="006D5A57" w:rsidRDefault="006D5A57" w:rsidP="006D5A57">
      <w:pPr>
        <w:pStyle w:val="norm"/>
        <w:spacing w:line="276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color w:val="000000"/>
          <w:sz w:val="24"/>
          <w:szCs w:val="17"/>
          <w:shd w:val="clear" w:color="auto" w:fill="FFFFFF"/>
          <w:lang w:val="hy-AM"/>
        </w:rPr>
        <w:t xml:space="preserve">«Նորմատիվ իրավական ակտերի մասին» Հայաստանի Հանրապետության օրենքի 33-րդ հոդվածի 1-ին մասի 1-ին կետը՝ Հայաստանի Հանրապետության կառավարությունը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որոշում է.</w:t>
      </w:r>
    </w:p>
    <w:p w:rsidR="006D5A57" w:rsidRDefault="006D5A57" w:rsidP="006D5A57">
      <w:pPr>
        <w:ind w:left="36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կառավարության 2018 թվականի մարտի 29-ի </w:t>
      </w:r>
      <w:r w:rsidR="00776758">
        <w:rPr>
          <w:rFonts w:ascii="GHEA Grapalat" w:hAnsi="GHEA Grapalat"/>
          <w:sz w:val="24"/>
          <w:szCs w:val="24"/>
          <w:lang w:val="hy-AM"/>
        </w:rPr>
        <w:t>«</w:t>
      </w:r>
      <w:r w:rsidR="00776758" w:rsidRPr="00776758">
        <w:rPr>
          <w:rFonts w:ascii="GHEA Grapalat" w:hAnsi="GHEA Grapalat"/>
          <w:sz w:val="24"/>
          <w:szCs w:val="24"/>
          <w:lang w:val="hy-AM"/>
        </w:rPr>
        <w:t>Պետական գույք մասնավորեցնելու մասին</w:t>
      </w:r>
      <w:r w:rsidR="00776758">
        <w:rPr>
          <w:rFonts w:ascii="GHEA Grapalat" w:hAnsi="GHEA Grapalat"/>
          <w:sz w:val="24"/>
          <w:szCs w:val="24"/>
          <w:lang w:val="hy-AM"/>
        </w:rPr>
        <w:t>»</w:t>
      </w:r>
      <w:r w:rsidR="00776758" w:rsidRPr="0077675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թիվ 321-Ա որոշման 1-ին կետի «14816» թիվը փոխարինել «8327» թվով: </w:t>
      </w: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510AAA" w:rsidRDefault="00510AAA" w:rsidP="006D5A57">
      <w:pPr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510AAA" w:rsidRDefault="00510AAA" w:rsidP="006D5A57">
      <w:pPr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510AAA" w:rsidRPr="00510AAA" w:rsidRDefault="00510AAA" w:rsidP="006D5A57">
      <w:pPr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6D5A57" w:rsidRDefault="006D5A57" w:rsidP="006D5A57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10AAA" w:rsidRDefault="00510AAA" w:rsidP="006D5A5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lang w:val="en-GB"/>
        </w:rPr>
      </w:pPr>
      <w:r>
        <w:rPr>
          <w:rFonts w:ascii="GHEA Grapalat" w:hAnsi="GHEA Grapalat" w:cs="Sylfaen"/>
          <w:b/>
          <w:lang w:val="hy-AM"/>
        </w:rPr>
        <w:lastRenderedPageBreak/>
        <w:t>ՀԻՄՆԱՎՈՐՈՒՄ</w:t>
      </w:r>
      <w:r>
        <w:rPr>
          <w:rFonts w:ascii="GHEA Grapalat" w:hAnsi="GHEA Grapalat"/>
          <w:b/>
          <w:lang w:val="hy-AM"/>
        </w:rPr>
        <w:t xml:space="preserve"> </w:t>
      </w:r>
    </w:p>
    <w:p w:rsidR="006D5A57" w:rsidRPr="00510AAA" w:rsidRDefault="00F250B5" w:rsidP="00510AA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lang w:val="en-GB"/>
        </w:rPr>
      </w:pPr>
      <w:r>
        <w:rPr>
          <w:rFonts w:ascii="GHEA Grapalat" w:hAnsi="GHEA Grapalat"/>
          <w:b/>
          <w:lang w:val="hy-AM"/>
        </w:rPr>
        <w:t>«</w:t>
      </w:r>
      <w:r w:rsidR="006D5A57">
        <w:rPr>
          <w:rFonts w:ascii="GHEA Grapalat" w:hAnsi="GHEA Grapalat"/>
          <w:b/>
          <w:lang w:val="hy-AM"/>
        </w:rPr>
        <w:t>ՀԱՅԱՍՏԱՆԻ ՀԱՆՐԱՊԵՏՈՒԹՅԱՆ ԿԱՌԱՎԱՐՈՒԹՅԱՆ 2018 ԹՎԱԿԱՆԻ ՄԱՐՏԻ 29-Ի ԹԻՎ 321-Ա ՈՐՈՇՄԱՆ ՄԵՋ ՓՈՓՈԽՈՒԹՅՈՒՆ ԿԱՏԱՐԵԼՈՒ ՄԱՍԻՆ»</w:t>
      </w:r>
      <w:r w:rsidR="00510AAA">
        <w:rPr>
          <w:rFonts w:ascii="GHEA Grapalat" w:hAnsi="GHEA Grapalat"/>
          <w:b/>
          <w:lang w:val="en-GB"/>
        </w:rPr>
        <w:t xml:space="preserve"> </w:t>
      </w:r>
      <w:r w:rsidR="006D5A57">
        <w:rPr>
          <w:rFonts w:ascii="GHEA Grapalat" w:hAnsi="GHEA Grapalat" w:cs="Sylfaen"/>
          <w:b/>
          <w:lang w:val="hy-AM"/>
        </w:rPr>
        <w:t xml:space="preserve">ՀՀ կառավարության որոշման նախագծի </w:t>
      </w:r>
      <w:proofErr w:type="spellStart"/>
      <w:r w:rsidR="00510AAA">
        <w:rPr>
          <w:rFonts w:ascii="GHEA Grapalat" w:hAnsi="GHEA Grapalat" w:cs="Sylfaen"/>
          <w:b/>
          <w:lang w:val="en-GB"/>
        </w:rPr>
        <w:t>վերաբերյալ</w:t>
      </w:r>
      <w:proofErr w:type="spellEnd"/>
    </w:p>
    <w:p w:rsidR="006D5A57" w:rsidRDefault="006D5A57" w:rsidP="006D5A57">
      <w:pPr>
        <w:ind w:firstLine="720"/>
        <w:jc w:val="center"/>
        <w:rPr>
          <w:rFonts w:ascii="GHEA Grapalat" w:hAnsi="GHEA Grapalat" w:cs="Sylfaen"/>
          <w:b/>
          <w:lang w:val="en-US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 w:cs="Sylfaen"/>
          <w:b/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930"/>
      </w:tblGrid>
      <w:tr w:rsidR="006D5A57" w:rsidTr="006D5A57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Անհրաժեշտությունը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32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ՀՀ կառավարության 2010թ. ապրիլի 29-ի թիվ 474-Ն որոշման   10-րդ կետի համաձայն՝ «Դիլիջան» մանկական հակատուբեր</w:t>
            </w:r>
            <w:r>
              <w:rPr>
                <w:rFonts w:ascii="GHEA Grapalat" w:hAnsi="GHEA Grapalat" w:cs="Sylfaen"/>
                <w:color w:val="000000"/>
                <w:lang w:val="hy-AM"/>
              </w:rPr>
              <w:softHyphen/>
              <w:t>կուլյո</w:t>
            </w:r>
            <w:r>
              <w:rPr>
                <w:rFonts w:ascii="GHEA Grapalat" w:hAnsi="GHEA Grapalat" w:cs="Sylfaen"/>
                <w:color w:val="000000"/>
                <w:lang w:val="hy-AM"/>
              </w:rPr>
              <w:softHyphen/>
              <w:t>զա</w:t>
            </w:r>
            <w:r>
              <w:rPr>
                <w:rFonts w:ascii="GHEA Grapalat" w:hAnsi="GHEA Grapalat" w:cs="Sylfaen"/>
                <w:color w:val="000000"/>
                <w:lang w:val="hy-AM"/>
              </w:rPr>
              <w:softHyphen/>
              <w:t xml:space="preserve">յին առողջարան» փակ բաժնետիրական ընկերության 100 տոկոս պետական սեփականություն հանդիսացող բաժնետոմսերի տնօրինման լիազորությունը 20.12.2017թ. հանձնման-ընդունման ակտով վերապահվել է ՀՀ կառավարությանն առընթեր պետական գույքի կառավարման վարչությանը: Հանձնման-ընդունման ակտով ընդունվել է 8327 հատ </w:t>
            </w:r>
            <w:bookmarkStart w:id="0" w:name="_GoBack"/>
            <w:bookmarkEnd w:id="0"/>
            <w:r>
              <w:rPr>
                <w:rFonts w:ascii="GHEA Grapalat" w:hAnsi="GHEA Grapalat" w:cs="Sylfaen"/>
                <w:color w:val="000000"/>
                <w:lang w:val="hy-AM"/>
              </w:rPr>
              <w:t xml:space="preserve">բաժնետոմս: Հաշվի օպերատոր՝ «Արմենբրոկ» ԲԲԸ-ի կողմից տրամադրված արժեթղթերի հաշվի քաղվածքի համաձայն ընկերության տեղաբաշխված արժեթղթերի քանակը նույնպես կազմում է 8327 հատ: </w:t>
            </w:r>
          </w:p>
        </w:tc>
      </w:tr>
      <w:tr w:rsidR="006D5A57" w:rsidTr="006D5A57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Ընթացիկ իրավիճակը և խնդիրները</w:t>
            </w:r>
          </w:p>
        </w:tc>
      </w:tr>
      <w:tr w:rsidR="006D5A57" w:rsidTr="006D5A5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32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ՀՀ կառավարության կողմից 2018 թվականի մարտի 29-ին ընդունվել է «Պետական գույք մասնավորեցնելու մասին» ՀՀ կառավարության թիվ 321-Ա որոշումը: Որոշման 1-ին կետում տեղ է գտել վրիպակ՝ փակագծում նշված «14816» բաժնետոմսերի փոխարեն պետք է լինի «8327»:</w:t>
            </w:r>
          </w:p>
          <w:p w:rsidR="006D5A57" w:rsidRDefault="006D5A57">
            <w:pPr>
              <w:ind w:firstLine="432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Ընկերության բաժնետոմսերի գնահատումն իրականացվել է Հայաստանի Հանրապետության կառավարության 1998 թվականի մարտի 27-ի N 209 որոշմամբ սահմանված կարգով և նշված վրիպակը չի ազդում բաժնետոմսերի վաճառքի ներկայացված արժեքի վրա:</w:t>
            </w:r>
          </w:p>
          <w:p w:rsidR="006D5A57" w:rsidRDefault="006D5A57">
            <w:pPr>
              <w:ind w:firstLine="432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ՀՀ կառավարության կողմից 2018 թվականի մարտի 29-ին թիվ 321-Ա որոշմամբ սահմանված ժամկետում գնորդի կողմից կատարվել են որոշմամբ սահմանված բոլոր վճարները:</w:t>
            </w:r>
          </w:p>
          <w:p w:rsidR="006D5A57" w:rsidRDefault="006D5A57">
            <w:pPr>
              <w:ind w:firstLine="432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 xml:space="preserve">Նշված որշման մեջ տեղ գտած վրիպակի պատճառով հնարավոր չէ գնորդի հետ կնքել մասնավերեցման պայմանագիր: </w:t>
            </w:r>
          </w:p>
          <w:p w:rsidR="006D5A57" w:rsidRDefault="006D5A57">
            <w:pPr>
              <w:ind w:firstLine="432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Նախագծով առաջարկվում է ՀՀ կառավարության 2018 թվականի մարտի 29-ի «Պետական գույք մասնավորեցնելու մասին» N 321-Ա որոշման 1-ին կետի փակագծում նշված «14816» թիվը փոխարինել «8327» թվով: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5"/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Տվյալ բնագավառում իրականացվող քաղաքականությունը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-------------------------------------------------------------------------------------</w:t>
            </w:r>
          </w:p>
        </w:tc>
      </w:tr>
      <w:tr w:rsidR="006D5A57" w:rsidTr="006D5A5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4. Պետական բյուջեում կամ տեղական ինքնակառավարման մարմինների բյուջեների վրա ազդեցությունը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ախագծի ընդունմա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մբ</w:t>
            </w:r>
            <w:proofErr w:type="spellEnd"/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>ՀՀ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պետական և ՏԻՄ բյուջեներում եկամուտների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առաջացնում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>: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</w:tr>
      <w:tr w:rsidR="006D5A57" w:rsidTr="006D5A57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Կարգավորման նպատակը և բնույթը </w:t>
            </w:r>
          </w:p>
        </w:tc>
      </w:tr>
      <w:tr w:rsidR="006D5A57" w:rsidTr="006D5A5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Պետական գույքի մասնավորեցման պայմանագրի կնքում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5"/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Նախագծի մշակման գործընթացում ներգրավված ինստիտուտները և </w:t>
            </w:r>
            <w:r>
              <w:rPr>
                <w:rFonts w:ascii="GHEA Grapalat" w:hAnsi="GHEA Grapalat"/>
                <w:b/>
                <w:lang w:val="af-ZA"/>
              </w:rPr>
              <w:lastRenderedPageBreak/>
              <w:t>անձիք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Նախագիծը մշակվել է Պետական գույքի կառավարման կոմիտեի աշխատակազմի կողմից: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Ակնկալվող արդյունքը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ind w:firstLine="409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 xml:space="preserve">Պետական գույքի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մասնավորեցման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կնքում</w:t>
            </w:r>
            <w:proofErr w:type="spellEnd"/>
          </w:p>
        </w:tc>
      </w:tr>
      <w:tr w:rsidR="006D5A57" w:rsidTr="006D5A5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5.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Նախագծի ընդունունմամբ այլ իրավական ակտերում փոփոխություն կատարելու անհրաժեշտություն չի առաջանում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-------------------------------------------------------------------------------------------------------------</w:t>
            </w:r>
          </w:p>
        </w:tc>
      </w:tr>
      <w:tr w:rsidR="006D5A57" w:rsidTr="006D5A5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6. Տեղեկանք հասարակության մասնակցության մասին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Հասարակությանը նախագծի վերաբերյալ իրազեկումը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firstLine="409"/>
              <w:jc w:val="both"/>
              <w:rPr>
                <w:rFonts w:ascii="GHEA Grapalat" w:hAnsi="GHEA Grapalat" w:cs="Sylfaen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կայքում՝ </w:t>
            </w: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e-gov.am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 հասցեում:</w:t>
            </w:r>
          </w:p>
        </w:tc>
      </w:tr>
      <w:tr w:rsidR="006D5A57" w:rsidTr="006D5A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Հասարակության մասնակցությունը նախագծմանը և/կամ քննարկումներին</w:t>
            </w:r>
          </w:p>
        </w:tc>
      </w:tr>
      <w:tr w:rsidR="006D5A57" w:rsidTr="006D5A57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pBdr>
                <w:bottom w:val="single" w:sz="6" w:space="1" w:color="auto"/>
              </w:pBdr>
              <w:tabs>
                <w:tab w:val="left" w:pos="10620"/>
              </w:tabs>
              <w:rPr>
                <w:rFonts w:ascii="GHEA Grapalat" w:hAnsi="GHEA Grapalat"/>
                <w:b/>
                <w:i/>
                <w:lang w:val="af-ZA"/>
              </w:rPr>
            </w:pPr>
          </w:p>
        </w:tc>
      </w:tr>
    </w:tbl>
    <w:p w:rsidR="006D5A57" w:rsidRDefault="006D5A57" w:rsidP="006D5A57">
      <w:pPr>
        <w:tabs>
          <w:tab w:val="left" w:pos="2895"/>
        </w:tabs>
        <w:spacing w:line="360" w:lineRule="auto"/>
        <w:ind w:left="-630"/>
        <w:jc w:val="both"/>
        <w:rPr>
          <w:rFonts w:ascii="GHEA Grapalat" w:hAnsi="GHEA Grapalat"/>
          <w:b/>
          <w:i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E57B02" w:rsidRDefault="00E57B02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445633" w:rsidRDefault="00445633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445633" w:rsidRDefault="00445633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445633" w:rsidRDefault="00445633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445633" w:rsidRDefault="00445633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445633" w:rsidRDefault="00445633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6D5A57" w:rsidRDefault="006D5A57" w:rsidP="006D5A57">
      <w:pPr>
        <w:ind w:left="-720" w:firstLine="567"/>
        <w:jc w:val="center"/>
        <w:rPr>
          <w:rStyle w:val="Strong"/>
          <w:rFonts w:cs="Sylfaen"/>
          <w:color w:val="000000"/>
          <w:shd w:val="clear" w:color="auto" w:fill="FFFFFF"/>
        </w:rPr>
      </w:pPr>
      <w:r>
        <w:rPr>
          <w:rStyle w:val="Strong"/>
          <w:rFonts w:ascii="GHEA Grapalat" w:hAnsi="GHEA Grapalat" w:cs="Sylfaen"/>
          <w:bCs w:val="0"/>
          <w:color w:val="000000"/>
          <w:shd w:val="clear" w:color="auto" w:fill="FFFFFF"/>
          <w:lang w:val="hy-AM"/>
        </w:rPr>
        <w:lastRenderedPageBreak/>
        <w:t>ԱՄՓՈՓԱԹԵՐԹ</w:t>
      </w:r>
    </w:p>
    <w:p w:rsidR="006D5A57" w:rsidRDefault="006D5A57" w:rsidP="006D5A5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b/>
          <w:sz w:val="22"/>
          <w:szCs w:val="22"/>
          <w:lang w:val="af-ZA"/>
        </w:rPr>
        <w:t>«</w:t>
      </w:r>
      <w:r>
        <w:rPr>
          <w:rFonts w:ascii="GHEA Grapalat" w:hAnsi="GHEA Grapalat"/>
          <w:b/>
          <w:sz w:val="22"/>
          <w:szCs w:val="22"/>
          <w:lang w:val="hy-AM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2018 </w:t>
      </w:r>
      <w:r>
        <w:rPr>
          <w:rFonts w:ascii="GHEA Grapalat" w:hAnsi="GHEA Grapalat"/>
          <w:b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ՄԱՐՏԻ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29-</w:t>
      </w:r>
      <w:r>
        <w:rPr>
          <w:rFonts w:ascii="GHEA Grapalat" w:hAnsi="GHEA Grapalat"/>
          <w:b/>
          <w:sz w:val="22"/>
          <w:szCs w:val="22"/>
          <w:lang w:val="hy-AM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ԹԻՎ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321-</w:t>
      </w:r>
      <w:r>
        <w:rPr>
          <w:rFonts w:ascii="GHEA Grapalat" w:hAnsi="GHEA Grapalat"/>
          <w:b/>
          <w:sz w:val="22"/>
          <w:szCs w:val="22"/>
          <w:lang w:val="hy-AM"/>
        </w:rPr>
        <w:t>Ա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ՈՐՈՇՄԱՆ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ՄԵՋ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ՓՈՓՈԽՈՒԹՅՈՒՆ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ԿԱՏԱՐԵԼՈՒ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ՄԱՍԻՆ</w:t>
      </w:r>
      <w:r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6D5A57" w:rsidRDefault="006D5A57" w:rsidP="006D5A5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sz w:val="22"/>
          <w:szCs w:val="22"/>
          <w:lang w:val="hy-AM"/>
        </w:rPr>
        <w:t>ՀԱՅԱՍՏԱՆԻ ՀԱՆՐԱՊԵՏՈՒԹՅԱՆ ԿԱՌԱՎԱՐՈՒԹՅԱՆ ՈՐՈՇՄԱՆ ՆԱԽԱԳԾԻ ՎԵՐԱԲԵՐՅԱԼ ՇԱՀԱԳՐԳԻՌ ՄԱՐՄԻՆՆԵՐԻ ԿՈՂՄԻՑ ՆԵՐԿԱՅԱՑՎԱԾ ԴԻՏՈՂՈՒԹՅՈՒՆՆԵՐԻ և ԱՌԱՋԱՐԿՈՒԹՅՈՒՆՆԵՐԻ ՔՆՆԱՐԿՄԱՆ ԱՐԴՅՈՒՆՔՆԵՐԻ</w:t>
      </w: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  <w:lang w:val="hy-AM"/>
        </w:rPr>
      </w:pP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5141"/>
        <w:gridCol w:w="1785"/>
      </w:tblGrid>
      <w:tr w:rsidR="006D5A57" w:rsidTr="006D5A57">
        <w:trPr>
          <w:trHeight w:val="108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7" w:rsidRDefault="006D5A57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6D5A57" w:rsidRDefault="006D5A5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հեղինակները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7" w:rsidRDefault="006D5A5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6D5A57" w:rsidRDefault="006D5A5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7" w:rsidRDefault="006D5A5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6D5A57" w:rsidRDefault="006D5A5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եզրակացությունները</w:t>
            </w:r>
          </w:p>
        </w:tc>
      </w:tr>
      <w:tr w:rsidR="006D5A57" w:rsidTr="006D5A57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7" w:rsidRDefault="006D5A57">
            <w:pPr>
              <w:ind w:right="58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11.09.2018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01/11-1/16347-18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7" w:rsidRDefault="006D5A57">
            <w:pPr>
              <w:ind w:right="58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չկան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7" w:rsidRDefault="006D5A57">
            <w:pPr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6D5A57" w:rsidRDefault="006D5A57">
            <w:pPr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6D5A57" w:rsidRDefault="006D5A57">
            <w:pPr>
              <w:ind w:right="-106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6D5A57" w:rsidTr="006D5A57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right="58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11.09.2018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02/14/6221111-18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7" w:rsidRDefault="006D5A57">
            <w:pPr>
              <w:ind w:right="58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Նշվում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25-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5-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եթե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հրապարակումից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հետո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դրա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տեքստում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հայտնաբերվում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վրիպակներ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բնույթի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այնպիսի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սխալներ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որոնց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ուղղման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տեքստի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բովանդակությունը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փոխվում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ապա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հրապարակման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ուղարկած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դիմումով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տեքստում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իրականացնում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ուղղում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կատարելով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նշում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ուղղում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լինելու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6D5A57" w:rsidRDefault="006D5A57">
            <w:pPr>
              <w:ind w:right="58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Հաշվի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առնելով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46-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25-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հոդվածն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ուժի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մտնում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հուլիսի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ուղղումը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հնարավոր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դիտարկել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33-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համատեքստում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նրա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առանձին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բառեր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թվեր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կետադրական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նշաններ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թվերով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կետադրական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նշաններով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փոխարինելու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միջոցով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: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7" w:rsidRDefault="006D5A57">
            <w:pPr>
              <w:ind w:right="-106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Ընդունելի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նախապատրաստվել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նախագիծ</w:t>
            </w:r>
            <w:proofErr w:type="spellEnd"/>
          </w:p>
        </w:tc>
      </w:tr>
      <w:tr w:rsidR="0057097F" w:rsidTr="00360D55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F" w:rsidRDefault="0057097F" w:rsidP="0057097F">
            <w:pPr>
              <w:ind w:right="58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ՀՀ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7F" w:rsidRPr="00770A5E" w:rsidRDefault="0057097F" w:rsidP="0057097F">
            <w:pPr>
              <w:ind w:right="58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  <w:lang w:val="fr-FR"/>
              </w:rPr>
            </w:pPr>
            <w:r w:rsidRPr="00770A5E">
              <w:rPr>
                <w:rFonts w:ascii="GHEA Grapalat" w:hAnsi="GHEA Grapalat" w:cs="GHEA Grapalat"/>
                <w:color w:val="000000"/>
                <w:sz w:val="22"/>
                <w:szCs w:val="22"/>
                <w:lang w:val="fr-FR"/>
              </w:rPr>
              <w:tab/>
            </w:r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1.Նախագծի 1-ին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կետում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անհրաժեշտ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նշել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Հայաստանի Հանրապետության կառավարության 2018 թվականի մարտի 29-ի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321-Ա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լրիվ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անվանումը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՝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համաձայն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,,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Նորմատիվ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իրավական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ակտերի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մասին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,, ՀՀ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օրենքի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17-րդ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հոդվածի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8-րդ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պահանջների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57097F" w:rsidRPr="00770A5E" w:rsidRDefault="0057097F" w:rsidP="0057097F">
            <w:pPr>
              <w:ind w:right="58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  <w:lang w:val="fr-FR"/>
              </w:rPr>
            </w:pPr>
            <w:r w:rsidRPr="00770A5E">
              <w:rPr>
                <w:rFonts w:ascii="GHEA Grapalat" w:hAnsi="GHEA Grapalat" w:cs="GHEA Grapalat"/>
                <w:color w:val="000000"/>
                <w:sz w:val="22"/>
                <w:szCs w:val="22"/>
                <w:lang w:val="fr-FR"/>
              </w:rPr>
              <w:tab/>
            </w:r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Նախագիծն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անհրաժեշտ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համաձայնեցնել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ՀՀ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հետ</w:t>
            </w:r>
            <w:proofErr w:type="spellEnd"/>
            <w:r w:rsidRPr="0057097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57097F" w:rsidRDefault="0057097F" w:rsidP="0057097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7F" w:rsidRPr="00445633" w:rsidRDefault="0057097F" w:rsidP="00445633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0" w:right="58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445633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Ը</w:t>
            </w:r>
            <w:r w:rsidRPr="00445633">
              <w:rPr>
                <w:rFonts w:ascii="GHEA Grapalat" w:hAnsi="GHEA Grapalat"/>
                <w:sz w:val="20"/>
                <w:szCs w:val="20"/>
                <w:lang w:val="en-US"/>
              </w:rPr>
              <w:t>նդունվել</w:t>
            </w:r>
            <w:proofErr w:type="spellEnd"/>
            <w:r w:rsidRPr="00445633">
              <w:rPr>
                <w:rFonts w:ascii="GHEA Grapalat" w:hAnsi="GHEA Grapalat"/>
                <w:sz w:val="20"/>
                <w:szCs w:val="20"/>
                <w:lang w:val="en-US"/>
              </w:rPr>
              <w:t xml:space="preserve"> է: </w:t>
            </w:r>
            <w:proofErr w:type="spellStart"/>
            <w:r w:rsidRPr="00445633">
              <w:rPr>
                <w:rFonts w:ascii="GHEA Grapalat" w:hAnsi="GHEA Grapalat" w:cs="GHEA Grapalat"/>
                <w:color w:val="000000"/>
                <w:sz w:val="20"/>
                <w:szCs w:val="20"/>
                <w:lang w:val="fr-FR" w:eastAsia="ru-RU"/>
              </w:rPr>
              <w:t>Նախագծում</w:t>
            </w:r>
            <w:proofErr w:type="spellEnd"/>
            <w:r w:rsidRPr="0044563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կատարվել</w:t>
            </w:r>
            <w:r w:rsidRPr="00445633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44563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44563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փոփոխություն:</w:t>
            </w:r>
          </w:p>
          <w:p w:rsidR="0057097F" w:rsidRPr="00445633" w:rsidRDefault="0057097F" w:rsidP="00445633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0" w:right="58" w:firstLine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445633">
              <w:rPr>
                <w:rFonts w:ascii="GHEA Grapalat" w:hAnsi="GHEA Grapalat" w:cs="GHEA Grapalat"/>
                <w:color w:val="000000"/>
                <w:sz w:val="20"/>
                <w:szCs w:val="20"/>
                <w:lang w:val="fr-FR" w:eastAsia="ru-RU"/>
              </w:rPr>
              <w:t>Նախագիծը</w:t>
            </w:r>
            <w:proofErr w:type="spellEnd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համաձայնեցվել</w:t>
            </w:r>
            <w:proofErr w:type="spellEnd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է </w:t>
            </w:r>
            <w:proofErr w:type="spellStart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ֆինանսների</w:t>
            </w:r>
            <w:proofErr w:type="spellEnd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proofErr w:type="spellEnd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56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</w:p>
        </w:tc>
      </w:tr>
    </w:tbl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</w:rPr>
      </w:pPr>
    </w:p>
    <w:p w:rsidR="006D5A57" w:rsidRDefault="006D5A57" w:rsidP="006D5A57">
      <w:pPr>
        <w:ind w:firstLine="720"/>
        <w:jc w:val="center"/>
        <w:rPr>
          <w:rFonts w:ascii="GHEA Grapalat" w:hAnsi="GHEA Grapalat"/>
          <w:bCs/>
          <w:i/>
          <w:sz w:val="18"/>
          <w:szCs w:val="18"/>
        </w:rPr>
      </w:pPr>
    </w:p>
    <w:p w:rsidR="000F5FFB" w:rsidRDefault="000F5FFB"/>
    <w:sectPr w:rsidR="000F5FFB" w:rsidSect="00445633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069"/>
    <w:multiLevelType w:val="hybridMultilevel"/>
    <w:tmpl w:val="9EB4E8AE"/>
    <w:lvl w:ilvl="0" w:tplc="89DA01A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61DE5"/>
    <w:multiLevelType w:val="hybridMultilevel"/>
    <w:tmpl w:val="C2C211AE"/>
    <w:lvl w:ilvl="0" w:tplc="8D5445E4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BD"/>
    <w:rsid w:val="000F5FFB"/>
    <w:rsid w:val="00445633"/>
    <w:rsid w:val="00510AAA"/>
    <w:rsid w:val="0057097F"/>
    <w:rsid w:val="006D5A57"/>
    <w:rsid w:val="00776758"/>
    <w:rsid w:val="009B7229"/>
    <w:rsid w:val="00E57B02"/>
    <w:rsid w:val="00EC6ABD"/>
    <w:rsid w:val="00F2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6D5A57"/>
    <w:pPr>
      <w:spacing w:before="100" w:beforeAutospacing="1" w:after="100" w:afterAutospacing="1"/>
    </w:pPr>
    <w:rPr>
      <w:lang w:val="en-US" w:eastAsia="en-US"/>
    </w:rPr>
  </w:style>
  <w:style w:type="character" w:customStyle="1" w:styleId="normChar">
    <w:name w:val="norm Char"/>
    <w:link w:val="norm"/>
    <w:locked/>
    <w:rsid w:val="006D5A57"/>
    <w:rPr>
      <w:rFonts w:ascii="Arial Armenian" w:eastAsia="Times New Rom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6D5A57"/>
    <w:pPr>
      <w:spacing w:line="480" w:lineRule="auto"/>
      <w:ind w:firstLine="709"/>
      <w:jc w:val="both"/>
    </w:pPr>
    <w:rPr>
      <w:rFonts w:ascii="Arial Armenian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qFormat/>
    <w:rsid w:val="006D5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6D5A57"/>
    <w:pPr>
      <w:spacing w:before="100" w:beforeAutospacing="1" w:after="100" w:afterAutospacing="1"/>
    </w:pPr>
    <w:rPr>
      <w:lang w:val="en-US" w:eastAsia="en-US"/>
    </w:rPr>
  </w:style>
  <w:style w:type="character" w:customStyle="1" w:styleId="normChar">
    <w:name w:val="norm Char"/>
    <w:link w:val="norm"/>
    <w:locked/>
    <w:rsid w:val="006D5A57"/>
    <w:rPr>
      <w:rFonts w:ascii="Arial Armenian" w:eastAsia="Times New Rom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6D5A57"/>
    <w:pPr>
      <w:spacing w:line="480" w:lineRule="auto"/>
      <w:ind w:firstLine="709"/>
      <w:jc w:val="both"/>
    </w:pPr>
    <w:rPr>
      <w:rFonts w:ascii="Arial Armenian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qFormat/>
    <w:rsid w:val="006D5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https://mul.gov.am/tasks/docs/attachment.php?id=486525&amp;fn=naxagic.docx&amp;out=1&amp;token=214af15965ff3cb9c709</cp:keywords>
</cp:coreProperties>
</file>