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55"/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04"/>
        <w:gridCol w:w="5040"/>
        <w:gridCol w:w="3240"/>
      </w:tblGrid>
      <w:tr w:rsidR="000374E6" w:rsidRPr="00732AFF" w:rsidTr="001C0DFF">
        <w:tc>
          <w:tcPr>
            <w:tcW w:w="12798" w:type="dxa"/>
            <w:gridSpan w:val="4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32AFF">
              <w:rPr>
                <w:rFonts w:ascii="GHEA Grapalat" w:hAnsi="GHEA Grapalat"/>
                <w:sz w:val="24"/>
                <w:szCs w:val="24"/>
              </w:rPr>
              <w:t>ԱՄՓՈՓԱԹԵՐԹ</w:t>
            </w:r>
          </w:p>
          <w:p w:rsidR="000374E6" w:rsidRDefault="000374E6" w:rsidP="000374E6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bCs/>
                <w:color w:val="000000"/>
              </w:rPr>
            </w:pP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F07CE3">
              <w:rPr>
                <w:rFonts w:ascii="GHEA Grapalat" w:hAnsi="GHEA Grapalat"/>
                <w:bCs/>
                <w:color w:val="000000"/>
              </w:rPr>
              <w:t xml:space="preserve">ՀԱՅԱՍՏԱՆԻ ՀԱՆՐԱՊԵՏՈՒԹՅԱՆ ԱՐԱԳԱԾՈՏՆԻ ՄԱՐԶԻ ՆՈՐ ԱՄԱՆՈՍ, ՀԱՑԱՇԵՆ,ՎԵՐԻՆ ՍԱՍՆԱՇԵՆ,ԱՐԱՐԱՏԻ ՄԱՐԶԻ ԴԱԼԱՐ,ՎԵՐԻՆ ԴՎԻՆ, ԱՐՄԱՎԻՐԻ ՄԱՐԶԻ ԴԱՇՏ,ԾԱՂԿՈՒՆՔ,ՇԱՀՈՒՄՅԱՆԻ ԹՌՉՆԱԲՈՒԾԱԿԱՆ ՖԱԲՐԻԿԱ, ԳԵՂԱԿԵՐՏ,ԼԵՌՆԱՄԵՐՁ,ԳԵՏԱՇԵՆ,ԱՐԵՎԱԴԱՇՏ,ԲԵՐՔԱՇԱՏ,ՋՐԱՇԵՆ,ԲԱՂՐԱՄՅԱՆ, ՇԵՆԱՎԱՆ,ԳԵՂԱՐՔՈՒՆԻՔԻ ՄԱՐԶԻ ԴԴՄԱՇԵՆ,ՄԱՔԵՆԻՍ,ՆԵՐՔԻՆ ԳԵՏԱՇԵՆ,ԼՈՌՈՒ ՄԱՐԶԻ ԱՆՏԱՌԱՇԵՆ,ՇԻՐԱԿԻ ՄԱՐԶԻ ԼՈՒՍԱԿԵՐՏ, ՀՈՎՏԱՇԵՆ,ՏԱՎՈՒՇԻ ՄԱՐԶԻ ՍԱՐԻԳՅՈՒՂ, ԼՈՒՍԱՀՈՎԻՏ ՀԱՄԱՅՆՔՆԵՐՈՒՄ ՏԵՂԱԿԱՆ ԻՆՔՆԱԿԱՌԱՎԱՐՄԱՆ ՄԱՐՄԻՆՆԵՐԻ 2018 ԹՎԱԿԱՆԻ ՀՈԿՏԵՄԲԵՐԻ 21-ԻՆ ԿԱՅԱՆԱԼԻՔ ՀԵՐԹԱԿԱՆ, ԱՐԱԳԱԾՈՏՆԻ ՄԱՐԶԻ ԿԱՐՄՐԱՇԵՆ, ՄԵԾԱՁՈՐ, ԱՐԱՐԱՏԻ ՄԱՐԶԻ ՀՈՎՏԱՇԵՆ, ՆՈՐ ԿՅԱՆՔ, ԶԱՆԳԱԿԱՏՈՒՆ, ԼՈՒՍԱՇՈՂ, ԱՐՄԱՎԻՐԻ ՄԱՐԶԻ ՎԱՂԱՐՇԱՊԱՏ, ՆՈՐԱԿԵՐՏ,ՀԱՅԹԱՂ, ԵՂԵԳՆՈՒՏ, ԱՐՄԱՎԻՐ/ՔԱՂԱՔ/, ԴԱԼԱՐԻԿ, ԽԱՆՋՅԱՆ, ԳԵՂԱՐՔՈՒՆԻՔԻ ՄԱՐԶԻ, ՍԱՐՈՒԽԱՆ, ԵՐԱՆՈՍ, ՎԵՐԻՆ ԳԵՏԱՇԵՆ, ԼՈՌՈՒ ՄԱՐԶԻ ՍԱՐԱՀԱՐԹ, ՎԱՀԱԳՆԻ, ՁՈՐԱԳՅՈՒՂ,ԿՈՏԱՅՔԻ ՄԱՐԶԻ, ՀՐԱԶԴԱՆ, ՍՈԼԱԿ, ԱՐԶՆԻ, ԳԵՂԱՇԵՆ, ՄՐԳԱՇԵՆ, ՍՅՈՒՆԻՔԻ ՄԱՐԶԻ ԿԱՊԱՆ, ՏԱՎՈՒՇԻ ՄԱՐԶԻ ԲԵՐՔԱԲԵՐ ՀԱՄԱՅՆՔՆԵՐՈՒՄ 2018 ԹՎԱԿԱՆԻ ՀՈԿՏԵՄԲԵՐԻ 21-ԻՆ ԿԱՅԱՆԱԼԻՔ ՏԵՂԱԿԱՆ ԻՆՔՆԱԿԱՌԱՎԱՐՄԱՆ ՄԱՐՄԻՆՆԵՐԻ ԱՐՏԱՀԵՐԹ ԸՆՏՐՈՒԹՅՈՒՆՆԵՐԻ ՆԱԽԱՊԱՏՐԱՍՏՄԱՆ ԵՎ ԱՆՑԿԱՑՄԱՆ ԾԱԽՍԵՐԸ ՖԻՆԱՆՍԱՎՈՐԵԼՈՒ ԵՎ ՀԱՅԱՍՏԱՆԻ ՀԱՆՐԱՊԵՏՈՒԹՅԱՆ ԿԱՌԱՎԱՐՈՒԹՅԱՆ 2017 ԹՎԱԿԱՆԻ ԴԵԿՏԵՄԲԵՐԻ 28-Ի </w:t>
            </w:r>
            <w:r w:rsidR="00F07CE3" w:rsidRPr="0081424C">
              <w:rPr>
                <w:rFonts w:ascii="GHEA Grapalat" w:hAnsi="GHEA Grapalat"/>
                <w:bCs/>
                <w:color w:val="000000"/>
              </w:rPr>
              <w:t>№</w:t>
            </w:r>
            <w:r w:rsidR="00F07CE3">
              <w:rPr>
                <w:rFonts w:ascii="GHEA Grapalat" w:hAnsi="GHEA Grapalat"/>
                <w:bCs/>
                <w:color w:val="000000"/>
              </w:rPr>
              <w:t xml:space="preserve"> 1717-Ն ՈՐՈՇՄԱՆ ՄԵՋ ԼՐԱՑՈՒՄՆԵՐ ԿԱՏԱՐԵԼՈՒ ՄԱՍԻՆ</w:t>
            </w: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0374E6">
              <w:rPr>
                <w:rFonts w:ascii="GHEA Grapalat" w:hAnsi="GHEA Grapalat"/>
                <w:lang w:val="af-ZA"/>
              </w:rPr>
              <w:t>ՀԱՅԱՍՏԱՆԻ ՀԱՆՐԱՊԵՏՈՒԹՅԱՆ ԿԱՌԱՎԱՐՈՒԹՅԱՆ ՈՐՈՇՄԱՆ ՆԱԽԱԳԾԻ ՎԵՐԱԲԵՐՅԱԼ ՍՏԱՑՎԱԾ ԴԻՏՈՂՈՒԹՅՈՒՆՆԵՐԻ ԵՎ ԱՌԱՋԱՐԿՈՒԹՅՈՒՆՆԵՐԻ</w:t>
            </w:r>
          </w:p>
          <w:p w:rsidR="000374E6" w:rsidRPr="00732AFF" w:rsidRDefault="000374E6" w:rsidP="000374E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374E6" w:rsidRPr="00732AFF" w:rsidTr="001C0DFF">
        <w:tc>
          <w:tcPr>
            <w:tcW w:w="614" w:type="dxa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32AFF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904" w:type="dxa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040" w:type="dxa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732A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240" w:type="dxa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2AFF">
              <w:rPr>
                <w:rFonts w:ascii="GHEA Grapalat" w:hAnsi="GHEA Grapalat"/>
                <w:sz w:val="24"/>
                <w:szCs w:val="24"/>
              </w:rPr>
              <w:t>Եզրակացությունը</w:t>
            </w:r>
            <w:proofErr w:type="spellEnd"/>
          </w:p>
        </w:tc>
      </w:tr>
      <w:tr w:rsidR="000374E6" w:rsidRPr="00590E61" w:rsidTr="001C0DFF">
        <w:tc>
          <w:tcPr>
            <w:tcW w:w="614" w:type="dxa"/>
          </w:tcPr>
          <w:p w:rsidR="000374E6" w:rsidRPr="00732AFF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32AF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904" w:type="dxa"/>
          </w:tcPr>
          <w:p w:rsidR="000374E6" w:rsidRPr="00732AFF" w:rsidRDefault="000374E6" w:rsidP="00F07CE3">
            <w:pPr>
              <w:spacing w:after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արդարադատության</w:t>
            </w: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>րարություն,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գրություն</w:t>
            </w:r>
            <w:r w:rsidR="0094104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4104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14.09.2018թ.,N02/14/622627-18</w:t>
            </w:r>
          </w:p>
        </w:tc>
        <w:tc>
          <w:tcPr>
            <w:tcW w:w="5040" w:type="dxa"/>
          </w:tcPr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  <w:r>
              <w:rPr>
                <w:rFonts w:ascii="GHEA Grapalat" w:eastAsia="Times New Roman" w:hAnsi="GHEA Grapalat" w:cs="Sylfaen"/>
                <w:sz w:val="24"/>
                <w:szCs w:val="20"/>
              </w:rPr>
              <w:lastRenderedPageBreak/>
              <w:t>1.Նախագծում &lt;&lt;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օրենքի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բառից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առաջ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&lt;&lt;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Հանրապետություն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բառերն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հանել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ելնելով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0"/>
              </w:rPr>
              <w:lastRenderedPageBreak/>
              <w:t>&lt;&lt;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Նորմատիվ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ակտերի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օրենքի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18-րդ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հոդվածի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3-րդ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մասի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պահանջներից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>:</w:t>
            </w: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</w:p>
          <w:p w:rsidR="00941045" w:rsidRDefault="00941045" w:rsidP="00941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2.Նախագծի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վերջին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կետում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&lt;&lt;5&gt;&gt;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թիվն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,&lt;&lt;2&gt;&gt;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թվով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ելնելով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&lt;&lt;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Նորմատիվ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ակտերի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&gt;&gt;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օրենքի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14-րդ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հոդվածի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5-րդ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մասի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0"/>
              </w:rPr>
              <w:t>պահանջներից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0"/>
              </w:rPr>
              <w:t>:</w:t>
            </w:r>
          </w:p>
          <w:p w:rsidR="00941045" w:rsidRDefault="00941045" w:rsidP="00941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</w:p>
          <w:p w:rsidR="000374E6" w:rsidRPr="004B4F42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</w:rPr>
            </w:pPr>
            <w:r>
              <w:rPr>
                <w:rFonts w:ascii="GHEA Grapalat" w:eastAsia="Times New Roman" w:hAnsi="GHEA Grapalat" w:cs="Sylfaen"/>
                <w:sz w:val="24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41045" w:rsidRPr="00BC6F7F" w:rsidRDefault="00941045" w:rsidP="009410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  <w:lang w:val="hy-AM"/>
              </w:rPr>
            </w:pPr>
          </w:p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0"/>
                <w:lang w:val="hy-AM"/>
              </w:rPr>
            </w:pPr>
          </w:p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1045" w:rsidRPr="00BC6F7F" w:rsidRDefault="00941045" w:rsidP="009410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41045" w:rsidRPr="00941045" w:rsidRDefault="00941045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374E6" w:rsidRPr="00732AFF" w:rsidTr="001C0DFF">
        <w:trPr>
          <w:trHeight w:val="1772"/>
        </w:trPr>
        <w:tc>
          <w:tcPr>
            <w:tcW w:w="614" w:type="dxa"/>
          </w:tcPr>
          <w:p w:rsidR="000374E6" w:rsidRPr="00CB6A59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B6A5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</w:t>
            </w:r>
          </w:p>
        </w:tc>
        <w:tc>
          <w:tcPr>
            <w:tcW w:w="3904" w:type="dxa"/>
          </w:tcPr>
          <w:p w:rsidR="000374E6" w:rsidRPr="00732AFF" w:rsidRDefault="000374E6" w:rsidP="00F07CE3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32AFF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ֆինանսների նախարարություն,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գրություն</w:t>
            </w:r>
            <w:r w:rsidR="00BA3D4C">
              <w:rPr>
                <w:rFonts w:ascii="GHEA Grapalat" w:hAnsi="GHEA Grapalat"/>
                <w:sz w:val="24"/>
                <w:szCs w:val="24"/>
                <w:lang w:val="af-ZA"/>
              </w:rPr>
              <w:t>14.09.2018թ.N01/8-2/16755-18</w:t>
            </w:r>
          </w:p>
        </w:tc>
        <w:tc>
          <w:tcPr>
            <w:tcW w:w="5040" w:type="dxa"/>
          </w:tcPr>
          <w:p w:rsidR="00C4407E" w:rsidRPr="00BA3D4C" w:rsidRDefault="00BA3D4C" w:rsidP="00BA3D4C">
            <w:pPr>
              <w:autoSpaceDE w:val="0"/>
              <w:autoSpaceDN w:val="0"/>
              <w:adjustRightInd w:val="0"/>
              <w:spacing w:after="0"/>
              <w:ind w:left="-123"/>
              <w:jc w:val="both"/>
              <w:rPr>
                <w:rFonts w:ascii="GHEA Grapalat" w:hAnsi="GHEA Grapalat"/>
                <w:bCs/>
                <w:color w:val="000000"/>
              </w:rPr>
            </w:pPr>
            <w:r>
              <w:rPr>
                <w:rFonts w:ascii="GHEA Grapalat" w:hAnsi="GHEA Grapalat" w:cs="Arial"/>
                <w:bCs/>
                <w:color w:val="000000"/>
              </w:rPr>
              <w:t>1.</w:t>
            </w:r>
            <w:r w:rsidRPr="00BA3D4C">
              <w:rPr>
                <w:rFonts w:ascii="GHEA Grapalat" w:hAnsi="GHEA Grapalat" w:cs="Arial"/>
                <w:bCs/>
                <w:color w:val="000000"/>
              </w:rPr>
              <w:t>ֆինանսավորելու</w:t>
            </w:r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համար</w:t>
            </w:r>
            <w:r w:rsidR="00CC4D48">
              <w:rPr>
                <w:rFonts w:ascii="GHEA Grapalat" w:hAnsi="GHEA Grapalat"/>
                <w:bCs/>
                <w:color w:val="000000"/>
              </w:rPr>
              <w:t>բառերից</w:t>
            </w:r>
            <w:proofErr w:type="spellEnd"/>
            <w:r w:rsidR="00CC4D48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CC4D48">
              <w:rPr>
                <w:rFonts w:ascii="GHEA Grapalat" w:hAnsi="GHEA Grapalat"/>
                <w:bCs/>
                <w:color w:val="000000"/>
              </w:rPr>
              <w:t>հետո</w:t>
            </w:r>
            <w:proofErr w:type="spellEnd"/>
            <w:r w:rsidR="00CC4D48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CC4D48">
              <w:rPr>
                <w:rFonts w:ascii="GHEA Grapalat" w:hAnsi="GHEA Grapalat"/>
                <w:bCs/>
                <w:color w:val="000000"/>
              </w:rPr>
              <w:t>շարադրել</w:t>
            </w:r>
            <w:proofErr w:type="spellEnd"/>
            <w:r w:rsidR="00CC4D48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CC4D48">
              <w:rPr>
                <w:rFonts w:ascii="GHEA Grapalat" w:hAnsi="GHEA Grapalat"/>
                <w:bCs/>
                <w:color w:val="000000"/>
              </w:rPr>
              <w:t>հետևյալ</w:t>
            </w:r>
            <w:proofErr w:type="spellEnd"/>
            <w:r w:rsidR="00CC4D48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CC4D48">
              <w:rPr>
                <w:rFonts w:ascii="GHEA Grapalat" w:hAnsi="GHEA Grapalat"/>
                <w:bCs/>
                <w:color w:val="000000"/>
              </w:rPr>
              <w:t>խմբագրությամբ</w:t>
            </w:r>
            <w:proofErr w:type="spellEnd"/>
            <w:r w:rsidR="00CC4D48">
              <w:rPr>
                <w:rFonts w:ascii="GHEA Grapalat" w:hAnsi="GHEA Grapalat"/>
                <w:bCs/>
                <w:color w:val="000000"/>
              </w:rPr>
              <w:t>՝</w:t>
            </w:r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կենտրոնական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ընտրական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հանձնաժողովին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2018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թվականի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ինն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ամսում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հատկացնել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244.794.9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հազար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դրամ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2018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թվականի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բյուջեյով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նախատեսված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պահուստային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ֆոնդի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հաշվին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/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բյուջետային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ծախսերի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տնտեսագիտական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դասակարգման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BA3D4C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BA3D4C">
              <w:rPr>
                <w:rFonts w:ascii="GHEA Grapalat" w:hAnsi="GHEA Grapalat"/>
              </w:rPr>
              <w:t>Այլ</w:t>
            </w:r>
            <w:proofErr w:type="spellEnd"/>
            <w:r w:rsidRPr="00BA3D4C">
              <w:rPr>
                <w:rFonts w:ascii="GHEA Grapalat" w:hAnsi="GHEA Grapalat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</w:rPr>
              <w:t>ծախսեր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  <w:lang w:val="hy-AM"/>
              </w:rPr>
              <w:t>»</w:t>
            </w:r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հոդվածով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>/:</w:t>
            </w:r>
            <w:r w:rsidRPr="00BA3D4C">
              <w:rPr>
                <w:rFonts w:ascii="GHEA Grapalat" w:hAnsi="GHEA Grapalat"/>
                <w:bCs/>
                <w:color w:val="000000"/>
              </w:rPr>
              <w:t xml:space="preserve"> և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այդ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կապակցությամբ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հանել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1-ին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կետի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 xml:space="preserve"> 1-ին </w:t>
            </w:r>
            <w:proofErr w:type="spellStart"/>
            <w:r w:rsidRPr="00BA3D4C">
              <w:rPr>
                <w:rFonts w:ascii="GHEA Grapalat" w:hAnsi="GHEA Grapalat"/>
                <w:bCs/>
                <w:color w:val="000000"/>
              </w:rPr>
              <w:t>ենթակետը</w:t>
            </w:r>
            <w:proofErr w:type="spellEnd"/>
            <w:r w:rsidRPr="00BA3D4C">
              <w:rPr>
                <w:rFonts w:ascii="GHEA Grapalat" w:hAnsi="GHEA Grapalat"/>
                <w:bCs/>
                <w:color w:val="000000"/>
              </w:rPr>
              <w:t>:</w:t>
            </w:r>
          </w:p>
          <w:p w:rsidR="00BA3D4C" w:rsidRDefault="00BA3D4C" w:rsidP="00CC4D48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2.</w:t>
            </w:r>
            <w:r w:rsidRPr="00BA3D4C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1-ին կետի 2-րդ ենթակետը փոխարինել 2-րդ կետով հետևյալ խմբագրությամբ՝ </w:t>
            </w:r>
            <w:r>
              <w:rPr>
                <w:rFonts w:ascii="GHEA Grapalat" w:hAnsi="GHEA Grapalat"/>
                <w:bCs/>
                <w:color w:val="000000"/>
              </w:rPr>
              <w:t xml:space="preserve">2.Հայաստանի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դեկտեմբերի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28-ի </w:t>
            </w:r>
            <w:r w:rsidRPr="00347398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2018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բյուջեյի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 w:rsidRPr="006E788B">
              <w:rPr>
                <w:rFonts w:ascii="GHEA Grapalat" w:hAnsi="GHEA Grapalat"/>
                <w:bCs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81424C">
              <w:rPr>
                <w:rFonts w:ascii="GHEA Grapalat" w:hAnsi="GHEA Grapalat"/>
                <w:bCs/>
                <w:color w:val="000000"/>
              </w:rPr>
              <w:t>№</w:t>
            </w:r>
            <w:r>
              <w:rPr>
                <w:rFonts w:ascii="GHEA Grapalat" w:hAnsi="GHEA Grapalat"/>
                <w:bCs/>
                <w:color w:val="000000"/>
              </w:rPr>
              <w:t xml:space="preserve">1717-Ն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203FEF">
              <w:rPr>
                <w:rFonts w:ascii="GHEA Grapalat" w:hAnsi="GHEA Grapalat"/>
                <w:color w:val="000000"/>
                <w:shd w:val="clear" w:color="auto" w:fill="FFFFFF"/>
              </w:rPr>
              <w:t xml:space="preserve">№11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34BBC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լրացումներ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համաձայն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81424C">
              <w:rPr>
                <w:rFonts w:ascii="GHEA Grapalat" w:hAnsi="GHEA Grapalat"/>
                <w:bCs/>
                <w:color w:val="000000"/>
              </w:rPr>
              <w:t>№№</w:t>
            </w:r>
            <w:r w:rsidRPr="00203FEF">
              <w:rPr>
                <w:rFonts w:ascii="GHEA Grapalat" w:hAnsi="GHEA Grapalat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r w:rsidRPr="00203FEF">
              <w:rPr>
                <w:rFonts w:ascii="GHEA Grapalat" w:hAnsi="GHEA Grapalat"/>
                <w:color w:val="000000"/>
                <w:shd w:val="clear" w:color="auto" w:fill="FFFFFF"/>
              </w:rPr>
              <w:t>2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34BBC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ներ</w:t>
            </w:r>
            <w:r w:rsidRPr="00634BBC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proofErr w:type="spellEnd"/>
            <w:r w:rsidRPr="00634BBC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  <w:p w:rsidR="00BA3D4C" w:rsidRDefault="00BA3D4C" w:rsidP="00BA3D4C">
            <w:pPr>
              <w:spacing w:after="0" w:line="360" w:lineRule="auto"/>
              <w:ind w:hanging="123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3.Նախագծի NN 1և 2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հավելվածներում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&lt;&lt;257,446.256&gt;&gt;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թիվը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&lt;&lt;244,794.9&gt;&gt;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թվով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BA3D4C" w:rsidRPr="00BA3D4C" w:rsidRDefault="00BA3D4C" w:rsidP="00BA3D4C">
            <w:pPr>
              <w:autoSpaceDE w:val="0"/>
              <w:autoSpaceDN w:val="0"/>
              <w:adjustRightInd w:val="0"/>
              <w:spacing w:after="0"/>
              <w:ind w:left="-123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240" w:type="dxa"/>
          </w:tcPr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374E6" w:rsidRPr="00BC6F7F" w:rsidRDefault="000374E6" w:rsidP="001C0D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0374E6" w:rsidRDefault="000374E6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Pr="00BC6F7F" w:rsidRDefault="00BA3D4C" w:rsidP="00BA3D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Pr="00BC6F7F" w:rsidRDefault="00BA3D4C" w:rsidP="00BA3D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  <w:p w:rsidR="00BA3D4C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3D4C" w:rsidRPr="00732AFF" w:rsidRDefault="00BA3D4C" w:rsidP="001C0D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BD3497" w:rsidRDefault="00BD3497">
      <w:bookmarkStart w:id="0" w:name="_GoBack"/>
      <w:bookmarkEnd w:id="0"/>
    </w:p>
    <w:sectPr w:rsidR="00BD3497" w:rsidSect="000374E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24D76"/>
    <w:multiLevelType w:val="hybridMultilevel"/>
    <w:tmpl w:val="6B84000A"/>
    <w:lvl w:ilvl="0" w:tplc="D1A06F3A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E6"/>
    <w:rsid w:val="000374E6"/>
    <w:rsid w:val="00941045"/>
    <w:rsid w:val="00BA3D4C"/>
    <w:rsid w:val="00BD3497"/>
    <w:rsid w:val="00C4407E"/>
    <w:rsid w:val="00CC4D48"/>
    <w:rsid w:val="00D76075"/>
    <w:rsid w:val="00F07CE3"/>
    <w:rsid w:val="00F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https://mul.gov.am/tasks/docs/attachment.php?id=480187&amp;fn=Ampop.docx&amp;out=1&amp;token=f5b8ed890245f358c107</cp:keywords>
</cp:coreProperties>
</file>