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66" w:rsidRPr="00284094" w:rsidRDefault="009C1A66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  <w:r w:rsidRPr="00284094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9C1A66" w:rsidRPr="00284094" w:rsidRDefault="0052731B" w:rsidP="0052731B">
      <w:pPr>
        <w:ind w:left="450"/>
        <w:jc w:val="center"/>
        <w:rPr>
          <w:rFonts w:ascii="GHEA Grapalat" w:hAnsi="GHEA Grapalat"/>
          <w:b/>
          <w:sz w:val="24"/>
          <w:szCs w:val="24"/>
        </w:rPr>
      </w:pPr>
      <w:r w:rsidRPr="00284094">
        <w:rPr>
          <w:rFonts w:ascii="GHEA Grapalat" w:hAnsi="GHEA Grapalat"/>
          <w:b/>
          <w:sz w:val="24"/>
          <w:szCs w:val="24"/>
        </w:rPr>
        <w:t>«ԲՅՈՒՋԵՆԵՐԻ ԿԱՏԱՐՄԱՆ ԿԱՐԳԸ ՀԱՍՏԱՏԵԼՈՒ</w:t>
      </w:r>
      <w:r w:rsidR="002840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094" w:rsidRPr="00284094">
        <w:rPr>
          <w:rFonts w:ascii="GHEA Grapalat" w:hAnsi="GHEA Grapalat"/>
          <w:b/>
          <w:sz w:val="24"/>
          <w:szCs w:val="24"/>
        </w:rPr>
        <w:t xml:space="preserve">ԵՎ ՀԱՅԱՍՏԱՆԻ ՀԱՆՐԱՊԵՏՈՒԹՅԱՆ ԿԱՌԱՎԱՐՈՒԹՅԱՆ ՄԻ ՇԱՐՔ </w:t>
      </w:r>
      <w:r w:rsidRPr="00284094">
        <w:rPr>
          <w:rFonts w:ascii="GHEA Grapalat" w:hAnsi="GHEA Grapalat"/>
          <w:b/>
          <w:sz w:val="24"/>
          <w:szCs w:val="24"/>
        </w:rPr>
        <w:t>ՈՐՈՇՈՒՄՆԵՐՆ ՈՒԺԸ ԿՈՐՑՐԱԾ ՃԱՆԱՉԵԼՈՒ ՄԱՍԻՆ»</w:t>
      </w:r>
      <w:r w:rsidR="007041F8" w:rsidRPr="00284094">
        <w:rPr>
          <w:rFonts w:ascii="GHEA Grapalat" w:hAnsi="GHEA Grapalat"/>
          <w:b/>
          <w:sz w:val="24"/>
          <w:szCs w:val="24"/>
        </w:rPr>
        <w:t xml:space="preserve"> ՀՀ ԿԱՌԱՎԱՐՈՒԹՅԱՆ ՈՐՈՇՄԱՆ ՆԱԽԱԳԾԻ ԸՆԴՈՒՆՄԱՆ ԱՆՀՐԱԺԵՇՏՈՒԹՅԱՆ ՎԵՐԱԲԵՐՅԱԼ</w:t>
      </w:r>
    </w:p>
    <w:p w:rsidR="0052731B" w:rsidRPr="00284094" w:rsidRDefault="0052731B" w:rsidP="0052731B">
      <w:pPr>
        <w:ind w:left="45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C1A66" w:rsidRPr="009929E8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C8" w:rsidRPr="00284094" w:rsidRDefault="0052731B" w:rsidP="0040640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«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յուջեների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 w:rsid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6403" w:rsidRPr="00284094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proofErr w:type="spellStart"/>
            <w:r w:rsidR="00406403" w:rsidRPr="00284094">
              <w:rPr>
                <w:rFonts w:ascii="GHEA Grapalat" w:hAnsi="GHEA Grapalat"/>
                <w:sz w:val="24"/>
                <w:szCs w:val="24"/>
              </w:rPr>
              <w:t>այաստանի</w:t>
            </w:r>
            <w:proofErr w:type="spellEnd"/>
            <w:r w:rsidR="00406403"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06403" w:rsidRPr="00284094">
              <w:rPr>
                <w:rFonts w:ascii="GHEA Grapalat" w:hAnsi="GHEA Grapalat"/>
                <w:sz w:val="24"/>
                <w:szCs w:val="24"/>
              </w:rPr>
              <w:t>Հ</w:t>
            </w:r>
            <w:r w:rsidRPr="00284094">
              <w:rPr>
                <w:rFonts w:ascii="GHEA Grapalat" w:hAnsi="GHEA Grapalat"/>
                <w:sz w:val="24"/>
                <w:szCs w:val="24"/>
              </w:rPr>
              <w:t>անրապետության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4094">
              <w:rPr>
                <w:rFonts w:ascii="GHEA Grapalat" w:hAnsi="GHEA Grapalat"/>
                <w:sz w:val="24"/>
                <w:szCs w:val="24"/>
                <w:lang w:val="hy-AM"/>
              </w:rPr>
              <w:t>մի շարք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որոշումներն ուժը կորցրած ճանաչելու մասին»</w:t>
            </w:r>
            <w:r w:rsidR="004C6954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որոշման նախագիծը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անհրաժեշտությունը պայմանավորված է </w:t>
            </w:r>
            <w:r w:rsidR="00946847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Ազգային ժողովի կողմից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«ՀՀ բյուջետային համակարգի մասին» ՀՀ օրենքում փոփոխություններ և լրացումներ կատարելու մասին» ՀՕ-304-Ն, «Գանձապետական համակարգի մասին» հայաստանի հանրապետության օրենքում փոփոխություններ և լրացումներ կատարելու մասին» ՀՕ-305-Ն, «Պետական ոչ առևտրային կազմակերպությունների մասին» ՀՀ օրենքում փոփոխություն կատարելու մասին» ՀՕ-306-Ն, «Հիմնադրամների մասին» ՀՀ օրենքում փոփոխություններ կատարելու մասին» ՀՕ-307-Ն, «Բաժնետիրական ընկերությունների մասին» ՀՀ օրենքում փոփոխություններ կատարելու մասին» ՀՕ-308-Ն ՀՀ օրենքներ</w:t>
            </w:r>
            <w:r w:rsidR="00946847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ընդունմամբ:</w:t>
            </w:r>
            <w:r w:rsidR="005A4FC8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5A4FC8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ամաձայն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որոնց</w:t>
            </w:r>
            <w:r w:rsidR="005A4FC8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B0CF9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 և համայնքային ոչ առևտրային կազմակերպությունների</w:t>
            </w:r>
            <w:r w:rsidR="00946847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946847" w:rsidRPr="00284094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r w:rsidR="00946847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ՊՈԱԿ</w:t>
            </w:r>
            <w:r w:rsidR="00946847" w:rsidRPr="00284094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  <w:r w:rsidR="00FB0CF9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ենթահաշիվների, ինչպես նաև գանձապետարանում հաշիվներ ունեցող պետության կամ համայնքների կամ պետության ու համայնքների կողմից հիմնադրված հիմնադրամների, ինչպես նաև այդ հիմնադրամների կողմից հիմնադրված իրավաբանական անձանց և 50 տոկոսից ավելի պետական կամ համայնքի բաժնեմաս կամ պետական ու համայնքի (հանրագումարով) բաժնեմասեր ունեցող ընկերությունների, ինչպես նաև այդ ընկերությունների կողմից հիմնադրված իրավաբանական անձանց բանկային սպասարկման համար ենթահաշիվների վճարումները 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պետք է </w:t>
            </w:r>
            <w:r w:rsidR="00FB0CF9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իրականացվե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 </w:t>
            </w:r>
            <w:r w:rsidR="00FB0CF9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գանձապետական միասնական հաշվից</w:t>
            </w:r>
            <w:r w:rsidR="0035234E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:rsidR="00946847" w:rsidRPr="00284094" w:rsidRDefault="00946847" w:rsidP="001A270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Միաժամանակ, ՀՀ կառավարության 2017-2022 թվականների ծրագրով սահմանվում է, որ պետական ֆինանսները նպատակային, խնայողաբար և արդյուն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>ավետ օգտագործելու համար ՀՀ կառավարությունն առաջիկա տարիներին նախատեսո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ւմ է բյուջետային գործընթա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ցում ՀՀ պետական բյուջեից ֆինանսավորվող ծրագրերի գնահատման ֆինանսական ցուցանիշների համակարգից անցում կատարել քանակական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որակական արդյունքային ցուցանիշների համակարգին, ինչպես նա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ուժեղացնել ֆինանսական կարգապահությունը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  <w:r w:rsidR="000C7BF3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Հիշյալով պայմանավորված 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ՊՈԱԿ-ների գործունեության թափանցիկության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արդյունավետության բարձրացման նպատակով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նախատեսվում է 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>մինչ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ավարտը ՊՈԱԿ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-ների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հաշիվներ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համախմբման համար, 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վերջիններիս հաշիվների վարումը կազմակերպել գանձապետարանի միջոցով,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մինչեւ 2019 թվականի ավարտը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պե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տական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համայնքների բյուջեների կատարման համար ներկայումս գործող նախնական հսկողության համակարգը կիրառել ՊՈԱԿ-ների հաշիվների նկատմամբ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(Տ՛ես ՀՀ կառավարության 2017-2022 թվականների ծրագրի 3.2-րդ գլխուխ 4-րդ կետ 4-րդ ենթակետը)։</w:t>
            </w:r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9C1A66" w:rsidRPr="009929E8" w:rsidTr="00367A43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72" w:rsidRPr="00284094" w:rsidRDefault="00663372" w:rsidP="00663372">
            <w:p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Պետական և համայնքային ոչ առևտրային կազմակերպությունների, ինչպես նաև պետության կամ համայնքների կամ պետության ու համայնքների կողմից հիմնադրված հիմնադրամների, ինչպես նաև այդ հիմնադրամների կողմից հիմնադրված իրավաբանական անձանց և 50 տոկոսից ավելի պետական կամ համայնքի բաժնեմաս կամ պետական ու համայնքի (հանրագումարով) բաժնեմասեր ունեցող ընկերությունների, ինչպես նաև այդ ընկերությունների կողմից հիմնադրված իրավաբանական անձանց բանկային հաշիվները գտնվում են առևտրային բանկերում։ </w:t>
            </w:r>
          </w:p>
          <w:p w:rsidR="00B461F4" w:rsidRPr="00284094" w:rsidRDefault="00663372" w:rsidP="00183E12">
            <w:pPr>
              <w:contextualSpacing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«Պետական ոչ առևտրային կազմակերպությունների մասին» ՀՀ օրենքում փոփոխություն կատարելու մասին» ՀՕ-306-Ն ՀՀ օրենքով ՊՈԱԿ-ների բանկային հաշիվների</w:t>
            </w:r>
            <w:r w:rsidR="004A20C0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սպասակումը (համայնքային կազմակերպության դեպքում` եթե վերջիններս</w:t>
            </w:r>
            <w:r w:rsidR="00B461F4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հաշիվներ</w:t>
            </w:r>
            <w:r w:rsidR="00183E12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կունենան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գանձապետարանում) 201</w:t>
            </w:r>
            <w:r w:rsidR="00927FC9" w:rsidRPr="00927FC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թվականից պետք է իրականացվեն միասնական գանձապետական հաշվից։  </w:t>
            </w:r>
            <w:r w:rsidR="000C7BF3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Բացի այդ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«Հիմնադրամների մասին» ՀՀ օրենքում փոփոխություններ կատարելու մասին» ՀՕ-307-Ն, «Բաժնետիրական ընկերությունների մասին» ՀՀ օրենքում փոփոխություններ կատարելու մասին» ՀՕ-308-Ն ՀՀ օրենքների համաձայն</w:t>
            </w:r>
            <w:r w:rsidR="00B461F4"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 եթե հիմնարկի հիմնադիրը պետությունն է կամ համայնքը կամ նրանց կողմից հիմնադրված կազմակերպությունը, ապա դրանք կարող են հաշիվներ բացել նաև գանձապետարանում։</w:t>
            </w:r>
          </w:p>
          <w:p w:rsidR="00406403" w:rsidRPr="00284094" w:rsidRDefault="00406403" w:rsidP="000C7BF3">
            <w:pPr>
              <w:contextualSpacing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Միաժամանակ,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2002 թվականի հունվարի 18-ի N 48 որոշմամբ հաստատված բյուջեների կատարման կարգի մի շարք դրույթներ կարիք ունեն վերանայման, որը պայմանանավորված է գանձապետական գործառույթներին առնչվող մի շարք գործընթացների կարգավոր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0C7BF3" w:rsidRPr="00284094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հստակեց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0C7BF3" w:rsidRPr="00284094">
              <w:rPr>
                <w:rFonts w:ascii="GHEA Grapalat" w:hAnsi="GHEA Grapalat"/>
                <w:sz w:val="24"/>
                <w:szCs w:val="24"/>
                <w:lang w:val="hy-AM"/>
              </w:rPr>
              <w:t>ն անհրաժեշտությամբ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0C7BF3" w:rsidP="00333BDB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Պետության, </w:t>
            </w:r>
            <w:r w:rsidR="0035234E"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համայնքների, ինչպես նաև գանձապետարանում հաշիվներ ունեցող իրավաբանական անձի կարգավիճակ ունեցող </w:t>
            </w:r>
            <w:r w:rsidR="00333BDB" w:rsidRPr="00284094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  <w:r w:rsidR="0035234E"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ների նկատմամբ օրենսդրության միասնական </w:t>
            </w:r>
            <w:r w:rsidR="00321B82" w:rsidRPr="00284094">
              <w:rPr>
                <w:rFonts w:ascii="GHEA Grapalat" w:hAnsi="GHEA Grapalat"/>
                <w:sz w:val="24"/>
                <w:szCs w:val="24"/>
                <w:lang w:val="hy-AM"/>
              </w:rPr>
              <w:t>քաղաքականության իրականացում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հանրային միջոցների նկատմամբ 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կարգապահությունը</w:t>
            </w:r>
            <w:r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4422">
              <w:rPr>
                <w:rFonts w:ascii="GHEA Grapalat" w:hAnsi="GHEA Grapalat"/>
                <w:sz w:val="24"/>
                <w:szCs w:val="24"/>
                <w:lang w:val="hy-AM"/>
              </w:rPr>
              <w:t>ուժեղաց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183E12" w:rsidRPr="00284094"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9C1A66" w:rsidRPr="009929E8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3" w:rsidRPr="00284094" w:rsidRDefault="00321B82" w:rsidP="004254B7">
            <w:pPr>
              <w:pStyle w:val="norm"/>
              <w:tabs>
                <w:tab w:val="left" w:pos="363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Որոշման նախագծով 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բյուջեների կատարման կարգը ներկայացված է նոր խմբագրությամբ, որտեղ ներառվել են նաև ՀՀ</w:t>
            </w:r>
            <w:r w:rsidR="003B66E3"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B66E3" w:rsidRPr="0028409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3B66E3" w:rsidRPr="00284094">
              <w:rPr>
                <w:rFonts w:ascii="GHEA Grapalat" w:hAnsi="GHEA Grapalat"/>
                <w:sz w:val="24"/>
                <w:szCs w:val="24"/>
              </w:rPr>
              <w:t xml:space="preserve"> 1999 </w:t>
            </w:r>
            <w:proofErr w:type="spellStart"/>
            <w:r w:rsidR="003B66E3" w:rsidRPr="00284094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3B66E3"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B66E3" w:rsidRPr="00284094">
              <w:rPr>
                <w:rFonts w:ascii="GHEA Grapalat" w:hAnsi="GHEA Grapalat"/>
                <w:sz w:val="24"/>
                <w:szCs w:val="24"/>
              </w:rPr>
              <w:t>հունիսի</w:t>
            </w:r>
            <w:proofErr w:type="spellEnd"/>
            <w:r w:rsidR="003B66E3" w:rsidRPr="00284094">
              <w:rPr>
                <w:rFonts w:ascii="GHEA Grapalat" w:hAnsi="GHEA Grapalat"/>
                <w:sz w:val="24"/>
                <w:szCs w:val="24"/>
              </w:rPr>
              <w:t xml:space="preserve"> 10-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ի N 404 և ՀՀ կառավարության 2010 թվականի մարտի 25-ի N 324-Ն որոշման դրույթներ</w:t>
            </w:r>
            <w:r w:rsidR="00BA0B5C" w:rsidRPr="0028409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>, որը նպատակ ունի բյուջեների կատարման</w:t>
            </w:r>
            <w:r w:rsidR="000C7BF3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առնչվող բոլոր գործընթացները ներկայացնելու մեկ իրավական ակտով։</w:t>
            </w:r>
          </w:p>
          <w:p w:rsidR="003B66E3" w:rsidRPr="00284094" w:rsidRDefault="003B66E3" w:rsidP="003B66E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մշակվել է, ելնելով` </w:t>
            </w:r>
          </w:p>
          <w:p w:rsidR="003B66E3" w:rsidRPr="00284094" w:rsidRDefault="003B66E3" w:rsidP="0091238E">
            <w:pPr>
              <w:pStyle w:val="ListParagraph"/>
              <w:numPr>
                <w:ilvl w:val="0"/>
                <w:numId w:val="3"/>
              </w:numPr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բյուջեների կատարման արդյունավետության բարձրացման մշտական պահանջի առկայությունից,</w:t>
            </w:r>
          </w:p>
          <w:p w:rsidR="003B66E3" w:rsidRPr="00284094" w:rsidRDefault="003B66E3" w:rsidP="0091238E">
            <w:pPr>
              <w:pStyle w:val="ListParagraph"/>
              <w:numPr>
                <w:ilvl w:val="0"/>
                <w:numId w:val="3"/>
              </w:numPr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բյուջետային և գանձապետական համակարգերի ֆունկցիոնալ դինամիկ զարգացման և բարեփոխումների տրամաբանությամբ պայմանավորված փոփոխությունների անհրաժեշտությունից, </w:t>
            </w:r>
          </w:p>
          <w:p w:rsidR="003B66E3" w:rsidRPr="00284094" w:rsidRDefault="003B66E3" w:rsidP="0091238E">
            <w:pPr>
              <w:pStyle w:val="ListParagraph"/>
              <w:numPr>
                <w:ilvl w:val="0"/>
                <w:numId w:val="3"/>
              </w:numPr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բիզնես-գործընթացների ավտոմատացման, բյուջեների կատարման մասնակիցների գործառույթների պարզեցման և վճարային էլեկտրոնային համակարգերի հնարավորությունների լիարժեք օգտագործման, ֆինանսական և մարդկային ռեսուրսների օպտիմալ տեղաբաշխման նպատակային թիրախներից,</w:t>
            </w:r>
          </w:p>
          <w:p w:rsidR="003B66E3" w:rsidRPr="00284094" w:rsidRDefault="003B66E3" w:rsidP="0091238E">
            <w:pPr>
              <w:pStyle w:val="norm"/>
              <w:numPr>
                <w:ilvl w:val="0"/>
                <w:numId w:val="3"/>
              </w:numPr>
              <w:tabs>
                <w:tab w:val="left" w:pos="363"/>
              </w:tabs>
              <w:spacing w:line="24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գանձապետական համակարգում ներառված իրավաբանական անձանց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դրամական հոսքերի, բյուջեների կատարման գործընթացը արդյունավետ կազմակերպելու հանգամանքներից</w:t>
            </w:r>
            <w:r w:rsidR="0091238E" w:rsidRPr="0028409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321B82" w:rsidRPr="00284094" w:rsidRDefault="0091238E" w:rsidP="00BA0B5C">
            <w:pPr>
              <w:pStyle w:val="norm"/>
              <w:numPr>
                <w:ilvl w:val="0"/>
                <w:numId w:val="3"/>
              </w:numPr>
              <w:tabs>
                <w:tab w:val="left" w:pos="363"/>
              </w:tabs>
              <w:spacing w:line="24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պետության, համայնքների, ինչպես նաև </w:t>
            </w:r>
            <w:r w:rsidR="00BA0B5C"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ՀՀ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օրենսդրության համաձայն գանձապետական համակարգում ներառված իրավաբանական անձանց բոլոր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դրամական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միջոցների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շրջանառման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գործընթաց</w:t>
            </w:r>
            <w:r w:rsidR="00BA0B5C"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ների, ինչպես նաև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գործընթաց</w:t>
            </w:r>
            <w:r w:rsidR="00BA0B5C"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ների </w:t>
            </w:r>
            <w:r w:rsidR="000C7BF3"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իրականացման </w:t>
            </w:r>
            <w:r w:rsidR="00BA0B5C"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նկատմամբ ֆինանսական կարգապահության ապահովման անհրաժեշտությամբ։</w:t>
            </w:r>
            <w:r w:rsidR="003B66E3"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C1A66" w:rsidRPr="00284094" w:rsidTr="00321B82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r w:rsidRPr="00284094">
              <w:rPr>
                <w:rFonts w:ascii="GHEA Grapalat" w:hAnsi="GHEA Grapalat"/>
                <w:b/>
                <w:sz w:val="24"/>
                <w:szCs w:val="24"/>
              </w:rPr>
              <w:softHyphen/>
              <w:t>ձիք</w:t>
            </w:r>
            <w:proofErr w:type="spellEnd"/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35234E" w:rsidP="004254B7">
            <w:pPr>
              <w:tabs>
                <w:tab w:val="left" w:pos="993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9C1A66"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րոշման նախագիծը մշակվել է </w:t>
            </w:r>
            <w:r w:rsidR="00595AC2" w:rsidRPr="00284094">
              <w:rPr>
                <w:rFonts w:ascii="GHEA Grapalat" w:hAnsi="GHEA Grapalat"/>
                <w:sz w:val="24"/>
                <w:szCs w:val="24"/>
                <w:lang w:val="af-ZA"/>
              </w:rPr>
              <w:t>ՀՀ ֆինանսների նախարարության կողմից</w:t>
            </w:r>
            <w:r w:rsidR="00183E12" w:rsidRPr="002840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28409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333BDB" w:rsidP="005E2F04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Հանրային </w:t>
            </w:r>
            <w:r w:rsidR="000C7BF3" w:rsidRPr="00284094">
              <w:rPr>
                <w:rFonts w:ascii="GHEA Grapalat" w:hAnsi="GHEA Grapalat"/>
                <w:sz w:val="24"/>
                <w:szCs w:val="24"/>
                <w:lang w:val="hy-AM"/>
              </w:rPr>
              <w:t>ֆինանսները նպատակային, խնայողաբար և արդյուն</w:t>
            </w:r>
            <w:r w:rsidR="000C7BF3"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ավետ օգտագործելու </w:t>
            </w:r>
            <w:r w:rsidR="005E2F04" w:rsidRPr="00284094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0C7BF3" w:rsidRPr="007444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ետության, համայնքների, ինչպես նաև գանձապետարանում հաշիվներ ունեցող իրավաբանական անձի կարգավիճակ ունեցող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կազմակերպությունների </w:t>
            </w:r>
            <w:r w:rsidR="004254B7" w:rsidRPr="00284094">
              <w:rPr>
                <w:rFonts w:ascii="GHEA Grapalat" w:hAnsi="GHEA Grapalat"/>
                <w:sz w:val="24"/>
                <w:szCs w:val="24"/>
                <w:lang w:val="af-ZA"/>
              </w:rPr>
              <w:t>նկատմամբ նախնական հսկողություն</w:t>
            </w:r>
            <w:r w:rsidRPr="00284094">
              <w:rPr>
                <w:rFonts w:ascii="GHEA Grapalat" w:hAnsi="GHEA Grapalat"/>
                <w:sz w:val="24"/>
                <w:szCs w:val="24"/>
                <w:lang w:val="af-ZA"/>
              </w:rPr>
              <w:t xml:space="preserve"> իրականաց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ում, վերջիններիս հաշիվներում առկա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դրամական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միջոցների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շրջանառման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գործընթացների, ինչպես նաև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</w:t>
            </w:r>
            <w:r w:rsidRPr="002840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8409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գործընթացների իրականացման նկատմամբ ֆինանսական կարգապահության ապահովում, </w:t>
            </w:r>
            <w:r w:rsidRPr="00284094">
              <w:rPr>
                <w:rFonts w:ascii="GHEA Grapalat" w:hAnsi="GHEA Grapalat"/>
                <w:sz w:val="24"/>
                <w:szCs w:val="24"/>
                <w:lang w:val="hy-AM"/>
              </w:rPr>
              <w:t>բյուջեների կատարման մասնակիցների գործառույթների պարզեցում և վճարային համակարգերի օգտագործման, ֆինանսական և մարդկային ռեսուրսների օպտիմալացում։</w:t>
            </w:r>
          </w:p>
        </w:tc>
      </w:tr>
      <w:tr w:rsidR="009C1A66" w:rsidRPr="00284094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284094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84094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Pr="002840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(</w:t>
            </w:r>
            <w:proofErr w:type="spellStart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եթե</w:t>
            </w:r>
            <w:proofErr w:type="spellEnd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այդպիսիք</w:t>
            </w:r>
            <w:proofErr w:type="spellEnd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առկա</w:t>
            </w:r>
            <w:proofErr w:type="spellEnd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են</w:t>
            </w:r>
            <w:proofErr w:type="spellEnd"/>
            <w:r w:rsidRPr="00284094">
              <w:rPr>
                <w:rFonts w:ascii="GHEA Grapalat" w:hAnsi="GHEA Grapalat" w:cs="Sylfaen"/>
                <w:bCs/>
                <w:sz w:val="24"/>
                <w:szCs w:val="24"/>
              </w:rPr>
              <w:t>)</w:t>
            </w:r>
          </w:p>
        </w:tc>
      </w:tr>
    </w:tbl>
    <w:p w:rsidR="00A07E80" w:rsidRPr="00284094" w:rsidRDefault="00A07E80" w:rsidP="004254B7">
      <w:pPr>
        <w:rPr>
          <w:rFonts w:ascii="GHEA Grapalat" w:hAnsi="GHEA Grapalat"/>
          <w:sz w:val="24"/>
          <w:szCs w:val="24"/>
        </w:rPr>
      </w:pPr>
    </w:p>
    <w:p w:rsidR="00A70597" w:rsidRPr="00284094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284094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284094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284094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284094" w:rsidRDefault="00A70597" w:rsidP="004254B7">
      <w:pPr>
        <w:rPr>
          <w:rFonts w:ascii="GHEA Grapalat" w:hAnsi="GHEA Grapalat"/>
          <w:sz w:val="24"/>
          <w:szCs w:val="24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9929E8" w:rsidRDefault="009929E8">
      <w:pPr>
        <w:spacing w:after="200" w:line="276" w:lineRule="auto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1A4061" w:rsidRPr="00284094" w:rsidRDefault="001A4061" w:rsidP="001A4061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284094">
        <w:rPr>
          <w:rFonts w:ascii="GHEA Grapalat" w:hAnsi="GHEA Grapalat" w:cs="Arial"/>
          <w:b/>
          <w:sz w:val="24"/>
          <w:szCs w:val="24"/>
          <w:lang w:val="hy-AM"/>
        </w:rPr>
        <w:lastRenderedPageBreak/>
        <w:t>ՏԵՂԵԿԱՆՔ</w:t>
      </w:r>
    </w:p>
    <w:p w:rsidR="001A4061" w:rsidRPr="00284094" w:rsidRDefault="00284094" w:rsidP="001A4061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4094">
        <w:rPr>
          <w:rFonts w:ascii="GHEA Grapalat" w:hAnsi="GHEA Grapalat"/>
          <w:b/>
          <w:sz w:val="24"/>
          <w:szCs w:val="24"/>
          <w:lang w:val="hy-AM"/>
        </w:rPr>
        <w:t>«ԲՅՈՒՋԵՆԵՐԻ ԿԱՏԱՐՄԱՆ ԿԱՐԳԸ 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ԵՎ ՀՀ ԿԱՌԱՎԱՐՈՒԹՅԱՆ ՄԻ ՇԱՐՔ </w:t>
      </w:r>
      <w:r w:rsidRPr="00284094">
        <w:rPr>
          <w:rFonts w:ascii="GHEA Grapalat" w:hAnsi="GHEA Grapalat"/>
          <w:b/>
          <w:sz w:val="24"/>
          <w:szCs w:val="24"/>
          <w:lang w:val="hy-AM"/>
        </w:rPr>
        <w:t xml:space="preserve">ՈՐՈՇՈՒՄՆԵՐՆ ՈՒԺԸ ԿՈՐՑՐԱԾ ՃԱՆԱՉԵԼՈՒ ՄԱՍԻՆ» </w:t>
      </w:r>
      <w:r w:rsidR="001A4061" w:rsidRPr="00284094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</w:t>
      </w:r>
      <w:r w:rsidRPr="00284094">
        <w:rPr>
          <w:rFonts w:ascii="GHEA Grapalat" w:hAnsi="GHEA Grapalat"/>
          <w:b/>
          <w:sz w:val="24"/>
          <w:szCs w:val="24"/>
          <w:lang w:val="hy-AM"/>
        </w:rPr>
        <w:t>«ԲՅՈՒՋԵՆԵՐԻ ԿԱՏԱՐՄԱՆ ԿԱՐԳԸ 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4094">
        <w:rPr>
          <w:rFonts w:ascii="GHEA Grapalat" w:hAnsi="GHEA Grapalat"/>
          <w:b/>
          <w:sz w:val="24"/>
          <w:szCs w:val="24"/>
          <w:lang w:val="hy-AM"/>
        </w:rPr>
        <w:t>ԵՎ ՀԱՅԱՍՏԱՆԻ «ԲՅՈՒՋԵՆԵՐԻ «ԲՅՈՒՋԵՆԵՐԻ ԿԱՏԱՐՄԱՆ ԿԱՐԳԸ 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4094">
        <w:rPr>
          <w:rFonts w:ascii="GHEA Grapalat" w:hAnsi="GHEA Grapalat"/>
          <w:b/>
          <w:sz w:val="24"/>
          <w:szCs w:val="24"/>
          <w:lang w:val="hy-AM"/>
        </w:rPr>
        <w:t xml:space="preserve">ԵՎ ՀԱՅԱՍՏԱՆԻ ՀԱՆՐԱՊԵՏՈՒԹՅԱՆ ԿԱՌԱՎԱՐՈՒԹՅԱՆ ՄԻ ՇԱՐՔ ՈՐՈՇՈՒՄՆԵՐՆ ՈՒԺԸ ԿՈՐՑՐԱԾ ՃԱՆԱՉԵԼՈՒ ՄԱՍԻՆ» ՀՀ ԿԱՌԱՎԱՐՈՒԹՅԱՆ ՈՐՈՇՄԱՆ ՆԱԽԱԳԾԻ </w:t>
      </w:r>
      <w:r w:rsidR="001A4061" w:rsidRPr="00284094">
        <w:rPr>
          <w:rFonts w:ascii="GHEA Grapalat" w:hAnsi="GHEA Grapalat" w:cs="Arial"/>
          <w:b/>
          <w:sz w:val="24"/>
          <w:szCs w:val="24"/>
          <w:lang w:val="hy-AM"/>
        </w:rPr>
        <w:t>ԸՆԴՈՒՆՄԱՄԲ ԱՅԼ ԻՐԱՎԱԿԱՆ ԱԿՏԵՐԻ ԸՆԴՈՒՆՄԱՆ ԱՆՀՐԱԺԵՇՏՈՒԹՅԱՆ ԿԱՄ ԲԱՑԱԿԱՅՈՒԹՅԱՆ ՄԱՍԻՆ</w:t>
      </w:r>
    </w:p>
    <w:p w:rsidR="001A4061" w:rsidRPr="00284094" w:rsidRDefault="001A4061" w:rsidP="001A4061">
      <w:pPr>
        <w:pStyle w:val="norm"/>
        <w:tabs>
          <w:tab w:val="left" w:pos="360"/>
        </w:tabs>
        <w:spacing w:line="240" w:lineRule="auto"/>
        <w:ind w:left="-357" w:right="85" w:firstLine="0"/>
        <w:rPr>
          <w:rFonts w:ascii="GHEA Grapalat" w:hAnsi="GHEA Grapalat"/>
          <w:sz w:val="24"/>
          <w:szCs w:val="24"/>
          <w:lang w:val="fi-FI"/>
        </w:rPr>
      </w:pPr>
    </w:p>
    <w:p w:rsidR="001A4061" w:rsidRPr="00284094" w:rsidRDefault="00284094" w:rsidP="001A4061">
      <w:pPr>
        <w:tabs>
          <w:tab w:val="left" w:pos="0"/>
        </w:tabs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84094">
        <w:rPr>
          <w:rFonts w:ascii="GHEA Grapalat" w:hAnsi="GHEA Grapalat"/>
          <w:sz w:val="24"/>
          <w:szCs w:val="24"/>
          <w:lang w:val="fi-FI"/>
        </w:rPr>
        <w:t>«</w:t>
      </w:r>
      <w:r w:rsidRPr="00284094">
        <w:rPr>
          <w:rFonts w:ascii="GHEA Grapalat" w:hAnsi="GHEA Grapalat"/>
          <w:sz w:val="24"/>
          <w:szCs w:val="24"/>
          <w:lang w:val="hy-AM"/>
        </w:rPr>
        <w:t>Բ</w:t>
      </w:r>
      <w:proofErr w:type="spellStart"/>
      <w:r w:rsidRPr="00284094">
        <w:rPr>
          <w:rFonts w:ascii="GHEA Grapalat" w:hAnsi="GHEA Grapalat"/>
          <w:sz w:val="24"/>
          <w:szCs w:val="24"/>
        </w:rPr>
        <w:t>յուջեների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284094">
        <w:rPr>
          <w:rFonts w:ascii="GHEA Grapalat" w:hAnsi="GHEA Grapalat"/>
          <w:sz w:val="24"/>
          <w:szCs w:val="24"/>
        </w:rPr>
        <w:t>կատարման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284094">
        <w:rPr>
          <w:rFonts w:ascii="GHEA Grapalat" w:hAnsi="GHEA Grapalat"/>
          <w:sz w:val="24"/>
          <w:szCs w:val="24"/>
        </w:rPr>
        <w:t>կարգը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284094">
        <w:rPr>
          <w:rFonts w:ascii="GHEA Grapalat" w:hAnsi="GHEA Grapalat"/>
          <w:sz w:val="24"/>
          <w:szCs w:val="24"/>
        </w:rPr>
        <w:t>հաստատելու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r w:rsidRPr="00284094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284094">
        <w:rPr>
          <w:rFonts w:ascii="GHEA Grapalat" w:hAnsi="GHEA Grapalat"/>
          <w:sz w:val="24"/>
          <w:szCs w:val="24"/>
        </w:rPr>
        <w:t>այաստանի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28409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28409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84094"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 շարք</w:t>
      </w:r>
      <w:r w:rsidRPr="00284094">
        <w:rPr>
          <w:rFonts w:ascii="GHEA Grapalat" w:hAnsi="GHEA Grapalat"/>
          <w:sz w:val="24"/>
          <w:szCs w:val="24"/>
          <w:lang w:val="hy-AM"/>
        </w:rPr>
        <w:t xml:space="preserve"> որոշումներն ուժը կորցրած ճանաչելու մասին» ՀՀ կառավարության որոշման նախագիծը անհրաժեշտությունը պայմանավորված է ՀՀ Ազգային ժողովի կողմից «ՀՀ բյուջետային համակարգի մասին»</w:t>
      </w:r>
      <w:r w:rsidR="001A4061" w:rsidRPr="00284094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</w:t>
      </w:r>
      <w:r w:rsidR="001A4061" w:rsidRPr="00284094">
        <w:rPr>
          <w:rFonts w:ascii="GHEA Grapalat" w:hAnsi="GHEA Grapalat" w:cs="Arial"/>
          <w:sz w:val="24"/>
          <w:szCs w:val="24"/>
          <w:lang w:val="hy-AM"/>
        </w:rPr>
        <w:t>նախագծի ընդունմամբ այլ իրավական ակտերում փոփոխություններ կամ լրացումներ կատարելու անհրաժեշտություն չի առաջանում:</w:t>
      </w:r>
    </w:p>
    <w:p w:rsidR="001A4061" w:rsidRPr="00284094" w:rsidRDefault="001A4061" w:rsidP="001A4061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A4061" w:rsidRPr="00284094" w:rsidRDefault="001A4061" w:rsidP="001A4061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A4061" w:rsidRPr="00284094" w:rsidRDefault="001A4061" w:rsidP="001A4061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A4061" w:rsidRPr="00284094" w:rsidRDefault="001A4061" w:rsidP="001A4061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4094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A4061" w:rsidRPr="00284094" w:rsidRDefault="00284094" w:rsidP="001A4061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4094">
        <w:rPr>
          <w:rFonts w:ascii="GHEA Grapalat" w:hAnsi="GHEA Grapalat"/>
          <w:b/>
          <w:sz w:val="24"/>
          <w:szCs w:val="24"/>
          <w:lang w:val="hy-AM"/>
        </w:rPr>
        <w:t>«ԲՅՈՒՋԵՆԵՐԻ ԿԱՏԱՐՄԱՆ ԿԱՐԳԸ 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4094">
        <w:rPr>
          <w:rFonts w:ascii="GHEA Grapalat" w:hAnsi="GHEA Grapalat"/>
          <w:b/>
          <w:sz w:val="24"/>
          <w:szCs w:val="24"/>
          <w:lang w:val="hy-AM"/>
        </w:rPr>
        <w:t xml:space="preserve">ԵՎ ՀԱՅԱՍՏԱՆԻ ՀԱՆՐԱՊԵՏՈՒԹՅԱՆ ԿԱՌԱՎԱՐՈՒԹՅԱՆ ՄԻ ՇԱՐՔ ՈՐՈՇՈՒՄՆԵՐՆ ՈՒԺԸ ԿՈՐՑՐԱԾ ՃԱՆԱՉԵԼՈՒ ՄԱՍԻՆ» </w:t>
      </w:r>
      <w:r w:rsidR="001A4061" w:rsidRPr="00284094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</w:t>
      </w:r>
      <w:r w:rsidR="001A4061" w:rsidRPr="0028409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1A4061" w:rsidRPr="00284094">
        <w:rPr>
          <w:rFonts w:ascii="GHEA Grapalat" w:hAnsi="GHEA Grapalat" w:cs="Arial"/>
          <w:b/>
          <w:sz w:val="24"/>
          <w:szCs w:val="24"/>
          <w:lang w:val="hy-AM"/>
        </w:rPr>
        <w:t xml:space="preserve"> ԸՆԴՈՒՆՄԱՄԲ ՀԱՅԱՍՏԱՆԻ ՀԱՆՐԱՊԵՏՈՒԹՅԱՆ ՊԵՏԱԿԱՆ ԿԱՄ ՏԵՂԱԿԱՆ ԻՆՔՆԱԿԱՌԱՎԱՐՄԱՆ ՄԱՐՄՆԻ ԲՅՈՒՋԵՈՒՄ ԾԱԽՍԵՐԻ ԵՎ ԵԿԱՄՈՒՏՆԵՐԻ ԷԱԿԱՆ ԱՎԵԼԱՑՄԱՆ ԿԱՄ ՆՎԱԶՄԱՆ ՄԱՍԻՆ</w:t>
      </w:r>
    </w:p>
    <w:p w:rsidR="001A4061" w:rsidRPr="00284094" w:rsidRDefault="001A4061" w:rsidP="001A4061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A4061" w:rsidRPr="00284094" w:rsidRDefault="001A4061" w:rsidP="001A4061">
      <w:pPr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84094">
        <w:rPr>
          <w:rFonts w:ascii="GHEA Grapalat" w:hAnsi="GHEA Grapalat" w:cs="Arial"/>
          <w:sz w:val="24"/>
          <w:szCs w:val="24"/>
          <w:lang w:val="hy-AM"/>
        </w:rPr>
        <w:tab/>
      </w:r>
      <w:r w:rsidR="00284094" w:rsidRPr="00284094">
        <w:rPr>
          <w:rFonts w:ascii="GHEA Grapalat" w:hAnsi="GHEA Grapalat"/>
          <w:sz w:val="24"/>
          <w:szCs w:val="24"/>
          <w:lang w:val="hy-AM"/>
        </w:rPr>
        <w:t>«Բյուջեների կատարման կարգը հաստատելու</w:t>
      </w:r>
      <w:r w:rsidR="0028409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84094" w:rsidRPr="0028409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</w:t>
      </w:r>
      <w:r w:rsidR="00284094">
        <w:rPr>
          <w:rFonts w:ascii="GHEA Grapalat" w:hAnsi="GHEA Grapalat"/>
          <w:sz w:val="24"/>
          <w:szCs w:val="24"/>
          <w:lang w:val="hy-AM"/>
        </w:rPr>
        <w:t>մի շարք</w:t>
      </w:r>
      <w:r w:rsidR="00284094" w:rsidRPr="00284094">
        <w:rPr>
          <w:rFonts w:ascii="GHEA Grapalat" w:hAnsi="GHEA Grapalat"/>
          <w:sz w:val="24"/>
          <w:szCs w:val="24"/>
          <w:lang w:val="hy-AM"/>
        </w:rPr>
        <w:t xml:space="preserve"> որոշումներն ուժը կորցրած ճանաչելու մասին» ՀՀ կառավարության որոշման նախագիծը անհրաժեշտությունը պայմանավորված է ՀՀ Ազգային ժողովի կողմից «ՀՀ բյուջետային համակարգի մասին»</w:t>
      </w:r>
      <w:r w:rsidRPr="00284094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</w:t>
      </w:r>
      <w:r w:rsidRPr="00284094">
        <w:rPr>
          <w:rFonts w:ascii="GHEA Grapalat" w:hAnsi="GHEA Grapalat" w:cs="Arial"/>
          <w:sz w:val="24"/>
          <w:szCs w:val="24"/>
          <w:lang w:val="hy-AM"/>
        </w:rPr>
        <w:t>նախագծի ընդունմամբ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1A4061" w:rsidRPr="00284094" w:rsidRDefault="001A4061" w:rsidP="001A4061">
      <w:pPr>
        <w:pStyle w:val="NormalWeb"/>
        <w:tabs>
          <w:tab w:val="left" w:pos="0"/>
        </w:tabs>
        <w:ind w:firstLine="426"/>
        <w:jc w:val="both"/>
        <w:rPr>
          <w:rFonts w:ascii="GHEA Grapalat" w:hAnsi="GHEA Grapalat"/>
          <w:color w:val="000000"/>
          <w:lang w:val="fi-FI"/>
        </w:rPr>
      </w:pPr>
    </w:p>
    <w:p w:rsidR="001A4061" w:rsidRPr="00284094" w:rsidRDefault="001A4061" w:rsidP="001A4061">
      <w:pPr>
        <w:jc w:val="both"/>
        <w:rPr>
          <w:rFonts w:ascii="GHEA Grapalat" w:hAnsi="GHEA Grapalat"/>
          <w:sz w:val="24"/>
          <w:szCs w:val="24"/>
          <w:lang w:val="fi-FI"/>
        </w:rPr>
      </w:pPr>
    </w:p>
    <w:p w:rsidR="001A4061" w:rsidRPr="00284094" w:rsidRDefault="001A4061" w:rsidP="001A4061">
      <w:pPr>
        <w:ind w:firstLine="284"/>
        <w:jc w:val="both"/>
        <w:rPr>
          <w:rFonts w:ascii="GHEA Grapalat" w:hAnsi="GHEA Grapalat"/>
          <w:sz w:val="24"/>
          <w:szCs w:val="24"/>
          <w:lang w:val="fi-FI"/>
        </w:rPr>
      </w:pPr>
    </w:p>
    <w:p w:rsidR="001A4061" w:rsidRPr="00284094" w:rsidRDefault="001A4061" w:rsidP="001A4061">
      <w:pPr>
        <w:rPr>
          <w:rFonts w:ascii="GHEA Grapalat" w:hAnsi="GHEA Grapalat"/>
          <w:sz w:val="24"/>
          <w:szCs w:val="24"/>
          <w:lang w:val="fi-FI"/>
        </w:rPr>
      </w:pPr>
    </w:p>
    <w:p w:rsidR="001A4061" w:rsidRPr="00284094" w:rsidRDefault="001A4061" w:rsidP="004254B7">
      <w:pPr>
        <w:jc w:val="center"/>
        <w:rPr>
          <w:rFonts w:ascii="GHEA Grapalat" w:hAnsi="GHEA Grapalat"/>
          <w:b/>
          <w:sz w:val="24"/>
          <w:szCs w:val="24"/>
          <w:u w:val="single"/>
          <w:lang w:val="fi-FI"/>
        </w:rPr>
      </w:pPr>
    </w:p>
    <w:sectPr w:rsidR="001A4061" w:rsidRPr="00284094" w:rsidSect="0097145F">
      <w:pgSz w:w="12240" w:h="15840"/>
      <w:pgMar w:top="810" w:right="90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61" w:rsidRDefault="00587761" w:rsidP="002F3114">
      <w:r>
        <w:separator/>
      </w:r>
    </w:p>
  </w:endnote>
  <w:endnote w:type="continuationSeparator" w:id="0">
    <w:p w:rsidR="00587761" w:rsidRDefault="00587761" w:rsidP="002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61" w:rsidRDefault="00587761" w:rsidP="002F3114">
      <w:r>
        <w:separator/>
      </w:r>
    </w:p>
  </w:footnote>
  <w:footnote w:type="continuationSeparator" w:id="0">
    <w:p w:rsidR="00587761" w:rsidRDefault="00587761" w:rsidP="002F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982"/>
    <w:multiLevelType w:val="hybridMultilevel"/>
    <w:tmpl w:val="0850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1AD4"/>
    <w:multiLevelType w:val="hybridMultilevel"/>
    <w:tmpl w:val="E5AA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6622"/>
    <w:multiLevelType w:val="hybridMultilevel"/>
    <w:tmpl w:val="97A661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A66"/>
    <w:rsid w:val="000C7BF3"/>
    <w:rsid w:val="0012234D"/>
    <w:rsid w:val="00183E12"/>
    <w:rsid w:val="001A270F"/>
    <w:rsid w:val="001A4061"/>
    <w:rsid w:val="002422E9"/>
    <w:rsid w:val="00284094"/>
    <w:rsid w:val="002F3114"/>
    <w:rsid w:val="00321B82"/>
    <w:rsid w:val="00322331"/>
    <w:rsid w:val="00333BDB"/>
    <w:rsid w:val="0035234E"/>
    <w:rsid w:val="00367A43"/>
    <w:rsid w:val="003A54F6"/>
    <w:rsid w:val="003B66E3"/>
    <w:rsid w:val="00406403"/>
    <w:rsid w:val="004254B7"/>
    <w:rsid w:val="0043325B"/>
    <w:rsid w:val="004A20C0"/>
    <w:rsid w:val="004C6954"/>
    <w:rsid w:val="004E5CAA"/>
    <w:rsid w:val="0052731B"/>
    <w:rsid w:val="00587761"/>
    <w:rsid w:val="00595AC2"/>
    <w:rsid w:val="005A4FC8"/>
    <w:rsid w:val="005E2F04"/>
    <w:rsid w:val="006405DB"/>
    <w:rsid w:val="00663372"/>
    <w:rsid w:val="007041F8"/>
    <w:rsid w:val="00743483"/>
    <w:rsid w:val="00744422"/>
    <w:rsid w:val="0079490F"/>
    <w:rsid w:val="008E74A3"/>
    <w:rsid w:val="0091238E"/>
    <w:rsid w:val="00927FC9"/>
    <w:rsid w:val="00946847"/>
    <w:rsid w:val="0097145F"/>
    <w:rsid w:val="009929E8"/>
    <w:rsid w:val="009C1A66"/>
    <w:rsid w:val="00A07E80"/>
    <w:rsid w:val="00A70597"/>
    <w:rsid w:val="00B26733"/>
    <w:rsid w:val="00B461F4"/>
    <w:rsid w:val="00B67574"/>
    <w:rsid w:val="00BA0B5C"/>
    <w:rsid w:val="00BE1BE4"/>
    <w:rsid w:val="00E34548"/>
    <w:rsid w:val="00E43413"/>
    <w:rsid w:val="00EA78F1"/>
    <w:rsid w:val="00FB0CF9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 Poghosyan</dc:creator>
  <cp:lastModifiedBy>Gayane Ayvazyan</cp:lastModifiedBy>
  <cp:revision>3</cp:revision>
  <cp:lastPrinted>2018-03-15T12:17:00Z</cp:lastPrinted>
  <dcterms:created xsi:type="dcterms:W3CDTF">2018-03-15T14:02:00Z</dcterms:created>
  <dcterms:modified xsi:type="dcterms:W3CDTF">2018-03-15T14:12:00Z</dcterms:modified>
</cp:coreProperties>
</file>