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DE4" w:rsidRPr="00E61904" w:rsidRDefault="00B63DE4" w:rsidP="00B63DE4">
      <w:pPr>
        <w:spacing w:line="276" w:lineRule="auto"/>
        <w:ind w:left="1416" w:right="4320" w:firstLine="708"/>
        <w:jc w:val="center"/>
        <w:rPr>
          <w:rFonts w:ascii="GHEA Grapalat" w:hAnsi="GHEA Grapalat" w:cs="Times Armenian"/>
          <w:b/>
          <w:lang w:val="ru-RU"/>
        </w:rPr>
      </w:pPr>
      <w:r w:rsidRPr="00E61904">
        <w:rPr>
          <w:rFonts w:ascii="GHEA Grapalat" w:hAnsi="GHEA Grapalat" w:cs="Sylfaen"/>
          <w:b/>
          <w:lang w:val="ru-RU"/>
        </w:rPr>
        <w:t>Ամփոփաթերթ</w:t>
      </w:r>
    </w:p>
    <w:p w:rsidR="00B63DE4" w:rsidRPr="00E61904" w:rsidRDefault="00B63DE4" w:rsidP="00B63DE4">
      <w:pPr>
        <w:spacing w:line="276" w:lineRule="auto"/>
        <w:jc w:val="center"/>
        <w:rPr>
          <w:rFonts w:ascii="GHEA Grapalat" w:hAnsi="GHEA Grapalat" w:cs="Sylfaen"/>
          <w:b/>
          <w:lang w:val="af-ZA"/>
        </w:rPr>
      </w:pPr>
    </w:p>
    <w:tbl>
      <w:tblPr>
        <w:tblpPr w:leftFromText="180" w:rightFromText="180" w:vertAnchor="text" w:horzAnchor="margin" w:tblpXSpec="center" w:tblpY="193"/>
        <w:tblW w:w="15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88"/>
        <w:gridCol w:w="7235"/>
        <w:gridCol w:w="5013"/>
      </w:tblGrid>
      <w:tr w:rsidR="00B63DE4" w:rsidRPr="00E61904" w:rsidTr="005D05AC">
        <w:tblPrEx>
          <w:tblCellMar>
            <w:top w:w="0" w:type="dxa"/>
            <w:bottom w:w="0" w:type="dxa"/>
          </w:tblCellMar>
        </w:tblPrEx>
        <w:tc>
          <w:tcPr>
            <w:tcW w:w="709" w:type="dxa"/>
          </w:tcPr>
          <w:p w:rsidR="00B63DE4" w:rsidRPr="00E61904" w:rsidRDefault="00B63DE4" w:rsidP="00DE7416">
            <w:pPr>
              <w:tabs>
                <w:tab w:val="left" w:pos="105"/>
                <w:tab w:val="left" w:pos="180"/>
              </w:tabs>
              <w:ind w:left="180" w:right="-72"/>
              <w:rPr>
                <w:rFonts w:ascii="GHEA Grapalat" w:hAnsi="GHEA Grapalat"/>
              </w:rPr>
            </w:pPr>
            <w:proofErr w:type="spellStart"/>
            <w:r w:rsidRPr="00E61904">
              <w:rPr>
                <w:rFonts w:ascii="GHEA Grapalat" w:hAnsi="GHEA Grapalat"/>
              </w:rPr>
              <w:t>հհ</w:t>
            </w:r>
            <w:proofErr w:type="spellEnd"/>
          </w:p>
        </w:tc>
        <w:tc>
          <w:tcPr>
            <w:tcW w:w="2688" w:type="dxa"/>
          </w:tcPr>
          <w:p w:rsidR="00B63DE4" w:rsidRPr="00E61904" w:rsidRDefault="00B63DE4" w:rsidP="00DE7416">
            <w:pPr>
              <w:ind w:right="450"/>
              <w:rPr>
                <w:rFonts w:ascii="GHEA Grapalat" w:hAnsi="GHEA Grapalat"/>
                <w:bCs/>
                <w:lang w:val="hy-AM"/>
              </w:rPr>
            </w:pPr>
            <w:proofErr w:type="spellStart"/>
            <w:r w:rsidRPr="00E61904">
              <w:rPr>
                <w:rFonts w:ascii="GHEA Grapalat" w:hAnsi="GHEA Grapalat"/>
                <w:bCs/>
              </w:rPr>
              <w:t>Առաջարկության</w:t>
            </w:r>
            <w:proofErr w:type="spellEnd"/>
            <w:r w:rsidRPr="00E61904">
              <w:rPr>
                <w:rFonts w:ascii="GHEA Grapalat" w:hAnsi="GHEA Grapalat"/>
                <w:bCs/>
              </w:rPr>
              <w:t xml:space="preserve">, </w:t>
            </w:r>
            <w:proofErr w:type="spellStart"/>
            <w:r w:rsidRPr="00E61904">
              <w:rPr>
                <w:rFonts w:ascii="GHEA Grapalat" w:hAnsi="GHEA Grapalat"/>
                <w:bCs/>
              </w:rPr>
              <w:t>առարկության</w:t>
            </w:r>
            <w:proofErr w:type="spellEnd"/>
            <w:r w:rsidRPr="00E61904">
              <w:rPr>
                <w:rFonts w:ascii="GHEA Grapalat" w:hAnsi="GHEA Grapalat"/>
                <w:bCs/>
              </w:rPr>
              <w:t xml:space="preserve"> </w:t>
            </w:r>
            <w:proofErr w:type="spellStart"/>
            <w:r w:rsidRPr="00E61904">
              <w:rPr>
                <w:rFonts w:ascii="GHEA Grapalat" w:hAnsi="GHEA Grapalat"/>
                <w:bCs/>
              </w:rPr>
              <w:t>հեղինակ</w:t>
            </w:r>
            <w:proofErr w:type="spellEnd"/>
            <w:r w:rsidRPr="00E61904">
              <w:rPr>
                <w:rFonts w:ascii="GHEA Grapalat" w:hAnsi="GHEA Grapalat"/>
                <w:bCs/>
                <w:lang w:val="hy-AM"/>
              </w:rPr>
              <w:t>ը</w:t>
            </w:r>
          </w:p>
        </w:tc>
        <w:tc>
          <w:tcPr>
            <w:tcW w:w="7235" w:type="dxa"/>
          </w:tcPr>
          <w:p w:rsidR="00B63DE4" w:rsidRPr="00E61904" w:rsidRDefault="00B63DE4" w:rsidP="00DE7416">
            <w:pPr>
              <w:ind w:left="720" w:right="450" w:hanging="648"/>
              <w:jc w:val="center"/>
              <w:rPr>
                <w:rFonts w:ascii="GHEA Grapalat" w:hAnsi="GHEA Grapalat"/>
                <w:bCs/>
              </w:rPr>
            </w:pPr>
            <w:proofErr w:type="spellStart"/>
            <w:r w:rsidRPr="00E61904">
              <w:rPr>
                <w:rFonts w:ascii="GHEA Grapalat" w:hAnsi="GHEA Grapalat"/>
                <w:bCs/>
              </w:rPr>
              <w:t>Առաջարկության</w:t>
            </w:r>
            <w:proofErr w:type="spellEnd"/>
            <w:r w:rsidRPr="00E61904">
              <w:rPr>
                <w:rFonts w:ascii="GHEA Grapalat" w:hAnsi="GHEA Grapalat"/>
                <w:bCs/>
              </w:rPr>
              <w:t xml:space="preserve">, </w:t>
            </w:r>
            <w:proofErr w:type="spellStart"/>
            <w:r w:rsidRPr="00E61904">
              <w:rPr>
                <w:rFonts w:ascii="GHEA Grapalat" w:hAnsi="GHEA Grapalat"/>
                <w:bCs/>
              </w:rPr>
              <w:t>առարկության</w:t>
            </w:r>
            <w:proofErr w:type="spellEnd"/>
            <w:r w:rsidRPr="00E61904">
              <w:rPr>
                <w:rFonts w:ascii="GHEA Grapalat" w:hAnsi="GHEA Grapalat"/>
                <w:bCs/>
              </w:rPr>
              <w:t xml:space="preserve"> </w:t>
            </w:r>
            <w:proofErr w:type="spellStart"/>
            <w:r w:rsidRPr="00E61904">
              <w:rPr>
                <w:rFonts w:ascii="GHEA Grapalat" w:hAnsi="GHEA Grapalat"/>
                <w:bCs/>
              </w:rPr>
              <w:t>բովանդակությունը</w:t>
            </w:r>
            <w:proofErr w:type="spellEnd"/>
          </w:p>
        </w:tc>
        <w:tc>
          <w:tcPr>
            <w:tcW w:w="5013" w:type="dxa"/>
          </w:tcPr>
          <w:p w:rsidR="00B63DE4" w:rsidRPr="00E61904" w:rsidRDefault="00B63DE4" w:rsidP="00DE7416">
            <w:pPr>
              <w:pStyle w:val="NoSpacing"/>
              <w:rPr>
                <w:rFonts w:ascii="GHEA Grapalat" w:hAnsi="GHEA Grapalat"/>
                <w:sz w:val="24"/>
                <w:szCs w:val="24"/>
              </w:rPr>
            </w:pPr>
            <w:proofErr w:type="spellStart"/>
            <w:r w:rsidRPr="00E61904">
              <w:rPr>
                <w:rFonts w:ascii="GHEA Grapalat" w:hAnsi="GHEA Grapalat" w:cs="Sylfaen"/>
                <w:sz w:val="24"/>
                <w:szCs w:val="24"/>
              </w:rPr>
              <w:t>Եզրակացություն</w:t>
            </w:r>
            <w:proofErr w:type="spellEnd"/>
          </w:p>
        </w:tc>
      </w:tr>
      <w:tr w:rsidR="00B63DE4" w:rsidRPr="00E61904" w:rsidTr="005D05AC">
        <w:tblPrEx>
          <w:tblCellMar>
            <w:top w:w="0" w:type="dxa"/>
            <w:bottom w:w="0" w:type="dxa"/>
          </w:tblCellMar>
        </w:tblPrEx>
        <w:trPr>
          <w:trHeight w:val="1880"/>
        </w:trPr>
        <w:tc>
          <w:tcPr>
            <w:tcW w:w="709" w:type="dxa"/>
          </w:tcPr>
          <w:p w:rsidR="00B63DE4" w:rsidRPr="00E61904" w:rsidRDefault="00B63DE4" w:rsidP="00DE7416">
            <w:pPr>
              <w:tabs>
                <w:tab w:val="left" w:pos="180"/>
              </w:tabs>
              <w:ind w:left="180" w:right="-72"/>
              <w:rPr>
                <w:rFonts w:ascii="GHEA Grapalat" w:hAnsi="GHEA Grapalat"/>
              </w:rPr>
            </w:pPr>
          </w:p>
        </w:tc>
        <w:tc>
          <w:tcPr>
            <w:tcW w:w="2688" w:type="dxa"/>
          </w:tcPr>
          <w:p w:rsidR="00B63DE4" w:rsidRPr="00E61904" w:rsidRDefault="00B63DE4" w:rsidP="00DE7416">
            <w:pPr>
              <w:tabs>
                <w:tab w:val="left" w:pos="1107"/>
              </w:tabs>
              <w:ind w:right="450"/>
              <w:rPr>
                <w:rFonts w:ascii="GHEA Grapalat" w:hAnsi="GHEA Grapalat"/>
                <w:bCs/>
              </w:rPr>
            </w:pPr>
            <w:r w:rsidRPr="00E61904">
              <w:rPr>
                <w:rFonts w:ascii="GHEA Grapalat" w:hAnsi="GHEA Grapalat"/>
                <w:bCs/>
              </w:rPr>
              <w:t xml:space="preserve">ՀՀ </w:t>
            </w:r>
            <w:proofErr w:type="spellStart"/>
            <w:r w:rsidRPr="00E61904">
              <w:rPr>
                <w:rFonts w:ascii="GHEA Grapalat" w:hAnsi="GHEA Grapalat"/>
                <w:bCs/>
              </w:rPr>
              <w:t>ֆինանսների</w:t>
            </w:r>
            <w:proofErr w:type="spellEnd"/>
            <w:r w:rsidRPr="00E61904">
              <w:rPr>
                <w:rFonts w:ascii="GHEA Grapalat" w:hAnsi="GHEA Grapalat"/>
                <w:bCs/>
              </w:rPr>
              <w:t xml:space="preserve"> </w:t>
            </w:r>
            <w:proofErr w:type="spellStart"/>
            <w:r w:rsidRPr="00E61904">
              <w:rPr>
                <w:rFonts w:ascii="GHEA Grapalat" w:hAnsi="GHEA Grapalat"/>
                <w:bCs/>
              </w:rPr>
              <w:t>նախարարություն</w:t>
            </w:r>
            <w:proofErr w:type="spellEnd"/>
            <w:r w:rsidRPr="00E61904">
              <w:rPr>
                <w:rFonts w:ascii="GHEA Grapalat" w:hAnsi="GHEA Grapalat"/>
                <w:bCs/>
              </w:rPr>
              <w:t xml:space="preserve"> </w:t>
            </w:r>
          </w:p>
        </w:tc>
        <w:tc>
          <w:tcPr>
            <w:tcW w:w="7235" w:type="dxa"/>
          </w:tcPr>
          <w:p w:rsidR="00B63DE4" w:rsidRPr="00E61904" w:rsidRDefault="00B63DE4" w:rsidP="00B63DE4">
            <w:pPr>
              <w:ind w:firstLine="360"/>
              <w:jc w:val="both"/>
              <w:rPr>
                <w:rFonts w:ascii="GHEA Grapalat" w:eastAsia="Times New Roman" w:hAnsi="GHEA Grapalat"/>
                <w:lang w:val="hy-AM"/>
              </w:rPr>
            </w:pPr>
            <w:r w:rsidRPr="00E61904">
              <w:rPr>
                <w:rFonts w:ascii="GHEA Grapalat" w:eastAsia="Times New Roman" w:hAnsi="GHEA Grapalat"/>
                <w:lang w:val="hy-AM"/>
              </w:rPr>
              <w:t>Պայմանագրի 7</w:t>
            </w:r>
            <w:r w:rsidRPr="00E61904">
              <w:rPr>
                <w:rFonts w:ascii="Cambria Math" w:eastAsia="Times New Roman" w:hAnsi="Cambria Math" w:cs="Cambria Math"/>
                <w:lang w:val="hy-AM"/>
              </w:rPr>
              <w:t>․</w:t>
            </w:r>
            <w:r w:rsidRPr="00E61904">
              <w:rPr>
                <w:rFonts w:ascii="GHEA Grapalat" w:eastAsia="Times New Roman" w:hAnsi="GHEA Grapalat"/>
                <w:lang w:val="hy-AM"/>
              </w:rPr>
              <w:t>7-</w:t>
            </w:r>
            <w:r w:rsidRPr="00E61904">
              <w:rPr>
                <w:rFonts w:ascii="GHEA Grapalat" w:eastAsia="Times New Roman" w:hAnsi="GHEA Grapalat" w:cs="GHEA Grapalat"/>
                <w:lang w:val="hy-AM"/>
              </w:rPr>
              <w:t>րդ</w:t>
            </w:r>
            <w:r w:rsidRPr="00E61904">
              <w:rPr>
                <w:rFonts w:ascii="GHEA Grapalat" w:eastAsia="Times New Roman" w:hAnsi="GHEA Grapalat"/>
                <w:lang w:val="hy-AM"/>
              </w:rPr>
              <w:t xml:space="preserve"> </w:t>
            </w:r>
            <w:r w:rsidRPr="00E61904">
              <w:rPr>
                <w:rFonts w:ascii="GHEA Grapalat" w:eastAsia="Times New Roman" w:hAnsi="GHEA Grapalat" w:cs="GHEA Grapalat"/>
                <w:lang w:val="hy-AM"/>
              </w:rPr>
              <w:t>կետի</w:t>
            </w:r>
            <w:r w:rsidRPr="00E61904">
              <w:rPr>
                <w:rFonts w:ascii="GHEA Grapalat" w:eastAsia="Times New Roman" w:hAnsi="GHEA Grapalat"/>
                <w:lang w:val="hy-AM"/>
              </w:rPr>
              <w:t xml:space="preserve"> </w:t>
            </w:r>
            <w:r w:rsidRPr="00E61904">
              <w:rPr>
                <w:rFonts w:ascii="GHEA Grapalat" w:eastAsia="Times New Roman" w:hAnsi="GHEA Grapalat" w:cs="GHEA Grapalat"/>
                <w:lang w:val="hy-AM"/>
              </w:rPr>
              <w:t>համա</w:t>
            </w:r>
            <w:r w:rsidRPr="00E61904">
              <w:rPr>
                <w:rFonts w:ascii="GHEA Grapalat" w:eastAsia="Times New Roman" w:hAnsi="GHEA Grapalat"/>
                <w:lang w:val="hy-AM"/>
              </w:rPr>
              <w:t>ձայն՝ Պայմանագրի 7</w:t>
            </w:r>
            <w:r w:rsidRPr="00E61904">
              <w:rPr>
                <w:rFonts w:ascii="Cambria Math" w:eastAsia="Times New Roman" w:hAnsi="Cambria Math" w:cs="Cambria Math"/>
                <w:lang w:val="hy-AM"/>
              </w:rPr>
              <w:t>․</w:t>
            </w:r>
            <w:r w:rsidRPr="00E61904">
              <w:rPr>
                <w:rFonts w:ascii="GHEA Grapalat" w:eastAsia="Times New Roman" w:hAnsi="GHEA Grapalat"/>
                <w:lang w:val="hy-AM"/>
              </w:rPr>
              <w:t>1-</w:t>
            </w:r>
            <w:r w:rsidRPr="00E61904">
              <w:rPr>
                <w:rFonts w:ascii="GHEA Grapalat" w:eastAsia="Times New Roman" w:hAnsi="GHEA Grapalat" w:cs="GHEA Grapalat"/>
                <w:lang w:val="hy-AM"/>
              </w:rPr>
              <w:t>րդ կետով նախատեսված ժամկետը լրանալուց հետո կողմերի փոխադարձ համաձայնությամբ ընտրված անկախ գնահատողի կողմից կատարված վերագնահատման արդյունքների հիման վրա Հավատարմագրային կառավարիչն իրավասու է ստանալու Ընկերության զուտ ակտիվների արժեքի աճի 60 տոկոսը՝ հավատարմագրային կառավարչի գործունեության ծրագրի մեկնարկի ժամանակ Ընկերության զուտ ակտիվների սկզբնական արժեքի համեմատ՝ կողմերի փոխադարձ համաձայնությամբ ընտրված անկախ գնահատողի կողմից կատարված վերագնահատման արդյունքների հիման վրա</w:t>
            </w:r>
            <w:r w:rsidRPr="00E61904">
              <w:rPr>
                <w:rFonts w:ascii="GHEA Grapalat" w:eastAsia="Times New Roman" w:hAnsi="GHEA Grapalat"/>
                <w:lang w:val="af-ZA"/>
              </w:rPr>
              <w:t>:</w:t>
            </w:r>
          </w:p>
          <w:p w:rsidR="00B63DE4" w:rsidRPr="00E61904" w:rsidRDefault="00B63DE4" w:rsidP="00B63DE4">
            <w:pPr>
              <w:ind w:firstLine="360"/>
              <w:jc w:val="both"/>
              <w:rPr>
                <w:rFonts w:ascii="GHEA Grapalat" w:eastAsia="Times New Roman" w:hAnsi="GHEA Grapalat"/>
                <w:lang w:val="hy-AM"/>
              </w:rPr>
            </w:pPr>
            <w:r w:rsidRPr="00E61904">
              <w:rPr>
                <w:rFonts w:ascii="GHEA Grapalat" w:eastAsia="Times New Roman" w:hAnsi="GHEA Grapalat"/>
                <w:lang w:val="hy-AM"/>
              </w:rPr>
              <w:t xml:space="preserve">Պայմանագրային վերոնշյալ պարտավորության կատարման նպատակով ՀՀ կառավարության 2017 թվականի օգոստոսի 17-ի թիվ 1007-Ա որոշմամբ Հայաստանի Հանրապետության անունից թողարկվել և </w:t>
            </w:r>
            <w:r w:rsidRPr="00E61904">
              <w:rPr>
                <w:rFonts w:ascii="GHEA Grapalat" w:eastAsia="Times New Roman" w:hAnsi="GHEA Grapalat" w:cs="GHEA Grapalat"/>
                <w:lang w:val="hy-AM"/>
              </w:rPr>
              <w:t xml:space="preserve">Հավատարմագրային կառավարչին </w:t>
            </w:r>
            <w:r w:rsidRPr="00E61904">
              <w:rPr>
                <w:rFonts w:ascii="GHEA Grapalat" w:eastAsia="Times New Roman" w:hAnsi="GHEA Grapalat"/>
                <w:lang w:val="hy-AM"/>
              </w:rPr>
              <w:t xml:space="preserve">տրամադրվել է </w:t>
            </w:r>
            <w:r w:rsidRPr="00E61904">
              <w:rPr>
                <w:rFonts w:ascii="GHEA Grapalat" w:eastAsia="Times New Roman" w:hAnsi="GHEA Grapalat"/>
                <w:b/>
                <w:lang w:val="hy-AM"/>
              </w:rPr>
              <w:t>Պայմանագրի գործողության ժամկետի ավարտի՝ 2017 թվականի սեպտեմբերի 30-ի ամսաթվով կազմված</w:t>
            </w:r>
            <w:r w:rsidRPr="00E61904">
              <w:rPr>
                <w:rFonts w:ascii="GHEA Grapalat" w:eastAsia="Times New Roman" w:hAnsi="GHEA Grapalat"/>
                <w:lang w:val="hy-AM"/>
              </w:rPr>
              <w:t xml:space="preserve">, տարեկան 4 տոկոս եկամտաբերությամբ, ընդամենը 2,500,000,000 դրամ գումարի չափով հասարակ մուրհակներ, որից՝ 1,000,000,000  դրամի չափով մուրհակների մարումը մինչև 2018 թվականի դեկտեմբերի 20-ը, 750,000,000 դրամի չափով մուրհակների մարումը մինչև 2019 թվականի դեկտեմբերի 20-ը, իսկ 750,000,000  դրամի չափով </w:t>
            </w:r>
            <w:r w:rsidRPr="00E61904">
              <w:rPr>
                <w:rFonts w:ascii="GHEA Grapalat" w:eastAsia="Times New Roman" w:hAnsi="GHEA Grapalat"/>
                <w:lang w:val="hy-AM"/>
              </w:rPr>
              <w:lastRenderedPageBreak/>
              <w:t>մուրհակների մարումը մինչև 2020 թվականի դեկտեմբերի 20-ը եռամսյակային հավասարաչափ մարումներով՝ ՀՀ պետական բյուջեի միջոցների հաշվին իրականացնելու պայմանով։</w:t>
            </w:r>
          </w:p>
          <w:p w:rsidR="00B63DE4" w:rsidRPr="00E61904" w:rsidRDefault="00B63DE4" w:rsidP="00B63DE4">
            <w:pPr>
              <w:ind w:firstLine="360"/>
              <w:jc w:val="both"/>
              <w:rPr>
                <w:rFonts w:ascii="GHEA Grapalat" w:eastAsia="Times New Roman" w:hAnsi="GHEA Grapalat"/>
                <w:lang w:val="hy-AM"/>
              </w:rPr>
            </w:pPr>
            <w:r w:rsidRPr="00E61904">
              <w:rPr>
                <w:rFonts w:ascii="GHEA Grapalat" w:eastAsia="Times New Roman" w:hAnsi="GHEA Grapalat"/>
                <w:lang w:val="hy-AM"/>
              </w:rPr>
              <w:t xml:space="preserve">Հետագայում, սակայն, Պայմանագրի գործողության ժամկետը (2017 թվականի սեպտեմբերի 30) երկարաձգվել է ՀՀ կառավարության </w:t>
            </w:r>
            <w:r w:rsidRPr="00E61904">
              <w:rPr>
                <w:rFonts w:ascii="GHEA Grapalat" w:eastAsia="Times New Roman" w:hAnsi="GHEA Grapalat"/>
                <w:b/>
                <w:lang w:val="hy-AM"/>
              </w:rPr>
              <w:t>2017 թվականի հոկտեմբերի 12-ի թիվ 1335-Ա և 2018 թվականի մարտի 22-ի թիվ 307-Ա որոշումներով</w:t>
            </w:r>
            <w:r w:rsidRPr="00E61904">
              <w:rPr>
                <w:rFonts w:ascii="GHEA Grapalat" w:eastAsia="Times New Roman" w:hAnsi="GHEA Grapalat"/>
                <w:lang w:val="hy-AM"/>
              </w:rPr>
              <w:t xml:space="preserve">։ </w:t>
            </w:r>
          </w:p>
          <w:p w:rsidR="005D05AC" w:rsidRDefault="00B63DE4" w:rsidP="00B63DE4">
            <w:pPr>
              <w:ind w:firstLine="360"/>
              <w:jc w:val="both"/>
              <w:rPr>
                <w:rFonts w:ascii="GHEA Grapalat" w:eastAsia="Times New Roman" w:hAnsi="GHEA Grapalat"/>
                <w:lang w:val="hy-AM"/>
              </w:rPr>
            </w:pPr>
            <w:r w:rsidRPr="00E61904">
              <w:rPr>
                <w:rFonts w:ascii="GHEA Grapalat" w:eastAsia="Times New Roman" w:hAnsi="GHEA Grapalat"/>
                <w:lang w:val="hy-AM"/>
              </w:rPr>
              <w:t xml:space="preserve">Ելնելով վերոգրյալից՝ գտնում ենք, որ Պայմանագրի գործողության ժամկետը պետք է երկարաձգել ՀՀ կառավարության որոշմամբ: </w:t>
            </w:r>
          </w:p>
          <w:p w:rsidR="00B63DE4" w:rsidRPr="00E61904" w:rsidRDefault="00B63DE4" w:rsidP="00B63DE4">
            <w:pPr>
              <w:ind w:firstLine="360"/>
              <w:jc w:val="both"/>
              <w:rPr>
                <w:rFonts w:ascii="GHEA Grapalat" w:eastAsia="Times New Roman" w:hAnsi="GHEA Grapalat"/>
                <w:lang w:val="hy-AM"/>
              </w:rPr>
            </w:pPr>
            <w:r w:rsidRPr="00E61904">
              <w:rPr>
                <w:rFonts w:ascii="GHEA Grapalat" w:eastAsia="Times New Roman" w:hAnsi="GHEA Grapalat"/>
                <w:lang w:val="hy-AM"/>
              </w:rPr>
              <w:t>Միևնույն ժամանակ առաջարկում ենք քննարկման առարկա դարձնել Հավատարմագրային կառավարչին տրամադրված ընդհանուր 1</w:t>
            </w:r>
            <w:r w:rsidRPr="00E61904">
              <w:rPr>
                <w:rFonts w:ascii="Cambria Math" w:eastAsia="Times New Roman" w:hAnsi="Cambria Math" w:cs="Cambria Math"/>
                <w:lang w:val="hy-AM"/>
              </w:rPr>
              <w:t>․</w:t>
            </w:r>
            <w:r w:rsidRPr="00E61904">
              <w:rPr>
                <w:rFonts w:ascii="GHEA Grapalat" w:eastAsia="Times New Roman" w:hAnsi="GHEA Grapalat"/>
                <w:lang w:val="hy-AM"/>
              </w:rPr>
              <w:t>500</w:t>
            </w:r>
            <w:r w:rsidRPr="00E61904">
              <w:rPr>
                <w:rFonts w:ascii="Cambria Math" w:eastAsia="Times New Roman" w:hAnsi="Cambria Math" w:cs="Cambria Math"/>
                <w:lang w:val="hy-AM"/>
              </w:rPr>
              <w:t>․</w:t>
            </w:r>
            <w:r w:rsidRPr="00E61904">
              <w:rPr>
                <w:rFonts w:ascii="GHEA Grapalat" w:eastAsia="Times New Roman" w:hAnsi="GHEA Grapalat"/>
                <w:lang w:val="hy-AM"/>
              </w:rPr>
              <w:t>000</w:t>
            </w:r>
            <w:r w:rsidRPr="00E61904">
              <w:rPr>
                <w:rFonts w:ascii="Cambria Math" w:eastAsia="Times New Roman" w:hAnsi="Cambria Math" w:cs="Cambria Math"/>
                <w:lang w:val="hy-AM"/>
              </w:rPr>
              <w:t>․</w:t>
            </w:r>
            <w:r w:rsidRPr="00E61904">
              <w:rPr>
                <w:rFonts w:ascii="GHEA Grapalat" w:eastAsia="Times New Roman" w:hAnsi="GHEA Grapalat"/>
                <w:lang w:val="hy-AM"/>
              </w:rPr>
              <w:t xml:space="preserve">000 </w:t>
            </w:r>
            <w:r w:rsidRPr="00E61904">
              <w:rPr>
                <w:rFonts w:ascii="GHEA Grapalat" w:eastAsia="Times New Roman" w:hAnsi="GHEA Grapalat" w:cs="GHEA Grapalat"/>
                <w:lang w:val="hy-AM"/>
              </w:rPr>
              <w:t>ՀՀ</w:t>
            </w:r>
            <w:r w:rsidRPr="00E61904">
              <w:rPr>
                <w:rFonts w:ascii="GHEA Grapalat" w:eastAsia="Times New Roman" w:hAnsi="GHEA Grapalat"/>
                <w:lang w:val="hy-AM"/>
              </w:rPr>
              <w:t xml:space="preserve"> </w:t>
            </w:r>
            <w:r w:rsidRPr="00E61904">
              <w:rPr>
                <w:rFonts w:ascii="GHEA Grapalat" w:eastAsia="Times New Roman" w:hAnsi="GHEA Grapalat" w:cs="GHEA Grapalat"/>
                <w:lang w:val="hy-AM"/>
              </w:rPr>
              <w:t>դրամ</w:t>
            </w:r>
            <w:r w:rsidRPr="00E61904">
              <w:rPr>
                <w:rFonts w:ascii="GHEA Grapalat" w:eastAsia="Times New Roman" w:hAnsi="GHEA Grapalat"/>
                <w:lang w:val="hy-AM"/>
              </w:rPr>
              <w:t xml:space="preserve"> </w:t>
            </w:r>
            <w:r w:rsidRPr="00E61904">
              <w:rPr>
                <w:rFonts w:ascii="GHEA Grapalat" w:eastAsia="Times New Roman" w:hAnsi="GHEA Grapalat" w:cs="GHEA Grapalat"/>
                <w:lang w:val="hy-AM"/>
              </w:rPr>
              <w:t>արժեքով</w:t>
            </w:r>
            <w:r w:rsidRPr="00E61904">
              <w:rPr>
                <w:rFonts w:ascii="GHEA Grapalat" w:eastAsia="Times New Roman" w:hAnsi="GHEA Grapalat"/>
                <w:lang w:val="hy-AM"/>
              </w:rPr>
              <w:t xml:space="preserve"> չմարված մուրհակները հետ կանչելու նպատակահարմարության հարցն այն հաշվառմամբ, որ Ընկերության զուտ ակտիվների արժեքի աճի 60 տոկոսն Ընկերությանը պետք է տրամադրվի հավատարմագրային կառավարման ավարտին՝ հաշվանցելով արդեն իսկ մարված 1</w:t>
            </w:r>
            <w:r w:rsidRPr="00E61904">
              <w:rPr>
                <w:rFonts w:ascii="Cambria Math" w:eastAsia="Times New Roman" w:hAnsi="Cambria Math" w:cs="Cambria Math"/>
                <w:lang w:val="hy-AM"/>
              </w:rPr>
              <w:t>․</w:t>
            </w:r>
            <w:r w:rsidRPr="00E61904">
              <w:rPr>
                <w:rFonts w:ascii="GHEA Grapalat" w:eastAsia="Times New Roman" w:hAnsi="GHEA Grapalat"/>
                <w:lang w:val="hy-AM"/>
              </w:rPr>
              <w:t>000</w:t>
            </w:r>
            <w:r w:rsidRPr="00E61904">
              <w:rPr>
                <w:rFonts w:ascii="Cambria Math" w:eastAsia="Times New Roman" w:hAnsi="Cambria Math" w:cs="Cambria Math"/>
                <w:lang w:val="hy-AM"/>
              </w:rPr>
              <w:t>․</w:t>
            </w:r>
            <w:r w:rsidRPr="00E61904">
              <w:rPr>
                <w:rFonts w:ascii="GHEA Grapalat" w:eastAsia="Times New Roman" w:hAnsi="GHEA Grapalat"/>
                <w:lang w:val="hy-AM"/>
              </w:rPr>
              <w:t>000</w:t>
            </w:r>
            <w:r w:rsidRPr="00E61904">
              <w:rPr>
                <w:rFonts w:ascii="Cambria Math" w:eastAsia="Times New Roman" w:hAnsi="Cambria Math" w:cs="Cambria Math"/>
                <w:lang w:val="hy-AM"/>
              </w:rPr>
              <w:t>․</w:t>
            </w:r>
            <w:r w:rsidRPr="00E61904">
              <w:rPr>
                <w:rFonts w:ascii="GHEA Grapalat" w:eastAsia="Times New Roman" w:hAnsi="GHEA Grapalat"/>
                <w:lang w:val="hy-AM"/>
              </w:rPr>
              <w:t xml:space="preserve">000 </w:t>
            </w:r>
            <w:r w:rsidRPr="00E61904">
              <w:rPr>
                <w:rFonts w:ascii="GHEA Grapalat" w:eastAsia="Times New Roman" w:hAnsi="GHEA Grapalat" w:cs="GHEA Grapalat"/>
                <w:lang w:val="hy-AM"/>
              </w:rPr>
              <w:t>ՀՀ</w:t>
            </w:r>
            <w:r w:rsidRPr="00E61904">
              <w:rPr>
                <w:rFonts w:ascii="GHEA Grapalat" w:eastAsia="Times New Roman" w:hAnsi="GHEA Grapalat"/>
                <w:lang w:val="hy-AM"/>
              </w:rPr>
              <w:t xml:space="preserve"> </w:t>
            </w:r>
            <w:r w:rsidRPr="00E61904">
              <w:rPr>
                <w:rFonts w:ascii="GHEA Grapalat" w:eastAsia="Times New Roman" w:hAnsi="GHEA Grapalat" w:cs="GHEA Grapalat"/>
                <w:lang w:val="hy-AM"/>
              </w:rPr>
              <w:t>դրամ</w:t>
            </w:r>
            <w:r w:rsidRPr="00E61904">
              <w:rPr>
                <w:rFonts w:ascii="GHEA Grapalat" w:eastAsia="Times New Roman" w:hAnsi="GHEA Grapalat"/>
                <w:lang w:val="hy-AM"/>
              </w:rPr>
              <w:t xml:space="preserve"> </w:t>
            </w:r>
            <w:r w:rsidRPr="00E61904">
              <w:rPr>
                <w:rFonts w:ascii="GHEA Grapalat" w:eastAsia="Times New Roman" w:hAnsi="GHEA Grapalat" w:cs="GHEA Grapalat"/>
                <w:lang w:val="hy-AM"/>
              </w:rPr>
              <w:t>ար</w:t>
            </w:r>
            <w:r w:rsidRPr="00E61904">
              <w:rPr>
                <w:rFonts w:ascii="GHEA Grapalat" w:eastAsia="Times New Roman" w:hAnsi="GHEA Grapalat"/>
                <w:lang w:val="hy-AM"/>
              </w:rPr>
              <w:t xml:space="preserve">ժեքով մուրհակների գումարը՝ նկատի ունենալով, որ Ընկերության զուտ ակտիվների արժեքի աճը, հետևաբար նաև </w:t>
            </w:r>
            <w:r w:rsidRPr="00E61904">
              <w:rPr>
                <w:rFonts w:ascii="GHEA Grapalat" w:eastAsia="Times New Roman" w:hAnsi="GHEA Grapalat" w:cs="GHEA Grapalat"/>
                <w:lang w:val="hy-AM"/>
              </w:rPr>
              <w:t>Հավատարմագրային կառավարչին վճարվելիք գումարի չափը ակտիվների վերագնահատման արդյունքում կարող է փոխվել</w:t>
            </w:r>
            <w:r w:rsidRPr="00E61904">
              <w:rPr>
                <w:rFonts w:ascii="GHEA Grapalat" w:eastAsia="Times New Roman" w:hAnsi="GHEA Grapalat"/>
                <w:lang w:val="hy-AM"/>
              </w:rPr>
              <w:t xml:space="preserve">։ </w:t>
            </w:r>
          </w:p>
          <w:p w:rsidR="00B63DE4" w:rsidRPr="00E61904" w:rsidRDefault="00B63DE4" w:rsidP="00DE7416">
            <w:pPr>
              <w:pStyle w:val="NoSpacing"/>
              <w:rPr>
                <w:rFonts w:ascii="GHEA Grapalat" w:hAnsi="GHEA Grapalat"/>
                <w:bCs/>
                <w:sz w:val="24"/>
                <w:szCs w:val="24"/>
                <w:lang w:val="hy-AM"/>
              </w:rPr>
            </w:pPr>
          </w:p>
        </w:tc>
        <w:tc>
          <w:tcPr>
            <w:tcW w:w="5013" w:type="dxa"/>
          </w:tcPr>
          <w:p w:rsidR="005D05AC" w:rsidRPr="00E61904" w:rsidRDefault="001C064F" w:rsidP="005D05AC">
            <w:pPr>
              <w:ind w:firstLine="567"/>
              <w:jc w:val="both"/>
              <w:rPr>
                <w:rFonts w:ascii="GHEA Grapalat" w:eastAsia="Times New Roman" w:hAnsi="GHEA Grapalat" w:cs="Sylfaen"/>
                <w:lang w:val="ru-RU"/>
              </w:rPr>
            </w:pPr>
            <w:r w:rsidRPr="00E61904">
              <w:rPr>
                <w:rFonts w:ascii="GHEA Grapalat" w:hAnsi="GHEA Grapalat" w:cs="Sylfaen"/>
                <w:lang w:val="hy-AM"/>
              </w:rPr>
              <w:lastRenderedPageBreak/>
              <w:t>ՀՀ</w:t>
            </w:r>
            <w:r w:rsidRPr="00E61904">
              <w:rPr>
                <w:rFonts w:ascii="GHEA Grapalat" w:hAnsi="GHEA Grapalat"/>
                <w:lang w:val="af-ZA"/>
              </w:rPr>
              <w:t xml:space="preserve"> </w:t>
            </w:r>
            <w:r w:rsidRPr="00E61904">
              <w:rPr>
                <w:rFonts w:ascii="GHEA Grapalat" w:hAnsi="GHEA Grapalat" w:cs="Sylfaen"/>
                <w:lang w:val="hy-AM"/>
              </w:rPr>
              <w:t>կառավարության</w:t>
            </w:r>
            <w:r w:rsidRPr="00E61904">
              <w:rPr>
                <w:rFonts w:ascii="GHEA Grapalat" w:hAnsi="GHEA Grapalat"/>
                <w:lang w:val="af-ZA"/>
              </w:rPr>
              <w:t xml:space="preserve"> 2016</w:t>
            </w:r>
            <w:r w:rsidRPr="00E61904">
              <w:rPr>
                <w:rFonts w:ascii="GHEA Grapalat" w:hAnsi="GHEA Grapalat" w:cs="Sylfaen"/>
                <w:lang w:val="hy-AM"/>
              </w:rPr>
              <w:t>թ</w:t>
            </w:r>
            <w:r w:rsidRPr="00E61904">
              <w:rPr>
                <w:rFonts w:ascii="GHEA Grapalat" w:hAnsi="GHEA Grapalat"/>
                <w:lang w:val="af-ZA"/>
              </w:rPr>
              <w:t xml:space="preserve">. </w:t>
            </w:r>
            <w:r w:rsidRPr="00E61904">
              <w:rPr>
                <w:rFonts w:ascii="GHEA Grapalat" w:hAnsi="GHEA Grapalat" w:cs="Sylfaen"/>
                <w:lang w:val="hy-AM"/>
              </w:rPr>
              <w:t>նոյեմբերի</w:t>
            </w:r>
            <w:r w:rsidRPr="00E61904">
              <w:rPr>
                <w:rFonts w:ascii="GHEA Grapalat" w:hAnsi="GHEA Grapalat"/>
                <w:lang w:val="af-ZA"/>
              </w:rPr>
              <w:t xml:space="preserve"> 24-</w:t>
            </w:r>
            <w:r w:rsidRPr="00E61904">
              <w:rPr>
                <w:rFonts w:ascii="GHEA Grapalat" w:hAnsi="GHEA Grapalat" w:cs="Sylfaen"/>
                <w:lang w:val="hy-AM"/>
              </w:rPr>
              <w:t>ի</w:t>
            </w:r>
            <w:r w:rsidRPr="00E61904">
              <w:rPr>
                <w:rFonts w:ascii="GHEA Grapalat" w:hAnsi="GHEA Grapalat"/>
                <w:lang w:val="af-ZA"/>
              </w:rPr>
              <w:t xml:space="preserve"> N1240-</w:t>
            </w:r>
            <w:r w:rsidRPr="00E61904">
              <w:rPr>
                <w:rFonts w:ascii="GHEA Grapalat" w:hAnsi="GHEA Grapalat" w:cs="Sylfaen"/>
                <w:lang w:val="hy-AM"/>
              </w:rPr>
              <w:t>Ա</w:t>
            </w:r>
            <w:r w:rsidRPr="00E61904">
              <w:rPr>
                <w:rFonts w:ascii="GHEA Grapalat" w:hAnsi="GHEA Grapalat"/>
                <w:lang w:val="af-ZA"/>
              </w:rPr>
              <w:t xml:space="preserve"> </w:t>
            </w:r>
            <w:r w:rsidRPr="00E61904">
              <w:rPr>
                <w:rFonts w:ascii="GHEA Grapalat" w:hAnsi="GHEA Grapalat" w:cs="Sylfaen"/>
                <w:lang w:val="hy-AM"/>
              </w:rPr>
              <w:t>որոշման</w:t>
            </w:r>
            <w:r w:rsidRPr="00E61904">
              <w:rPr>
                <w:rFonts w:ascii="GHEA Grapalat" w:hAnsi="GHEA Grapalat"/>
                <w:lang w:val="af-ZA"/>
              </w:rPr>
              <w:t xml:space="preserve"> </w:t>
            </w:r>
            <w:r w:rsidRPr="00E61904">
              <w:rPr>
                <w:rFonts w:ascii="GHEA Grapalat" w:hAnsi="GHEA Grapalat"/>
                <w:lang w:val="hy-AM"/>
              </w:rPr>
              <w:t xml:space="preserve">հիման վրա </w:t>
            </w:r>
            <w:r w:rsidRPr="00E61904">
              <w:rPr>
                <w:rFonts w:ascii="GHEA Grapalat" w:hAnsi="GHEA Grapalat" w:cs="Sylfaen"/>
                <w:lang w:val="hy-AM"/>
              </w:rPr>
              <w:t>ՀՀ</w:t>
            </w:r>
            <w:r w:rsidRPr="00E61904">
              <w:rPr>
                <w:rFonts w:ascii="GHEA Grapalat" w:hAnsi="GHEA Grapalat"/>
                <w:lang w:val="af-ZA"/>
              </w:rPr>
              <w:t xml:space="preserve"> </w:t>
            </w:r>
            <w:r w:rsidRPr="00E61904">
              <w:rPr>
                <w:rFonts w:ascii="GHEA Grapalat" w:hAnsi="GHEA Grapalat" w:cs="Sylfaen"/>
                <w:lang w:val="hy-AM"/>
              </w:rPr>
              <w:t>կառավարության</w:t>
            </w:r>
            <w:r w:rsidRPr="00E61904">
              <w:rPr>
                <w:rFonts w:ascii="GHEA Grapalat" w:hAnsi="GHEA Grapalat"/>
                <w:lang w:val="af-ZA"/>
              </w:rPr>
              <w:t xml:space="preserve"> </w:t>
            </w:r>
            <w:r w:rsidRPr="00E61904">
              <w:rPr>
                <w:rFonts w:ascii="GHEA Grapalat" w:hAnsi="GHEA Grapalat" w:cs="Sylfaen"/>
                <w:lang w:val="hy-AM"/>
              </w:rPr>
              <w:t>և</w:t>
            </w:r>
            <w:r w:rsidRPr="00E61904">
              <w:rPr>
                <w:rFonts w:ascii="GHEA Grapalat" w:hAnsi="GHEA Grapalat"/>
                <w:lang w:val="af-ZA"/>
              </w:rPr>
              <w:t xml:space="preserve"> &lt;&lt;</w:t>
            </w:r>
            <w:r w:rsidRPr="00E61904">
              <w:rPr>
                <w:rFonts w:ascii="GHEA Grapalat" w:hAnsi="GHEA Grapalat" w:cs="Sylfaen"/>
                <w:lang w:val="hy-AM"/>
              </w:rPr>
              <w:t>Հայփոստ</w:t>
            </w:r>
            <w:r w:rsidRPr="00E61904">
              <w:rPr>
                <w:rFonts w:ascii="GHEA Grapalat" w:hAnsi="GHEA Grapalat"/>
                <w:lang w:val="af-ZA"/>
              </w:rPr>
              <w:t xml:space="preserve"> </w:t>
            </w:r>
            <w:r w:rsidRPr="00E61904">
              <w:rPr>
                <w:rFonts w:ascii="GHEA Grapalat" w:hAnsi="GHEA Grapalat" w:cs="Sylfaen"/>
                <w:lang w:val="hy-AM"/>
              </w:rPr>
              <w:t>Թրասթ</w:t>
            </w:r>
            <w:r w:rsidRPr="00E61904">
              <w:rPr>
                <w:rFonts w:ascii="GHEA Grapalat" w:hAnsi="GHEA Grapalat"/>
                <w:lang w:val="af-ZA"/>
              </w:rPr>
              <w:t xml:space="preserve"> </w:t>
            </w:r>
            <w:r w:rsidRPr="00E61904">
              <w:rPr>
                <w:rFonts w:ascii="GHEA Grapalat" w:hAnsi="GHEA Grapalat" w:cs="Sylfaen"/>
                <w:lang w:val="hy-AM"/>
              </w:rPr>
              <w:t>Մենեջմենթ</w:t>
            </w:r>
            <w:r w:rsidRPr="00E61904">
              <w:rPr>
                <w:rFonts w:ascii="GHEA Grapalat" w:hAnsi="GHEA Grapalat"/>
                <w:lang w:val="af-ZA"/>
              </w:rPr>
              <w:t xml:space="preserve">&gt;&gt; </w:t>
            </w:r>
            <w:r w:rsidRPr="00E61904">
              <w:rPr>
                <w:rFonts w:ascii="GHEA Grapalat" w:hAnsi="GHEA Grapalat" w:cs="Sylfaen"/>
                <w:lang w:val="hy-AM"/>
              </w:rPr>
              <w:t>ՓԲԸ</w:t>
            </w:r>
            <w:r w:rsidRPr="00E61904">
              <w:rPr>
                <w:rFonts w:ascii="GHEA Grapalat" w:hAnsi="GHEA Grapalat"/>
                <w:lang w:val="af-ZA"/>
              </w:rPr>
              <w:t>-</w:t>
            </w:r>
            <w:r w:rsidRPr="00E61904">
              <w:rPr>
                <w:rFonts w:ascii="GHEA Grapalat" w:hAnsi="GHEA Grapalat" w:cs="Sylfaen"/>
                <w:lang w:val="hy-AM"/>
              </w:rPr>
              <w:t>ի</w:t>
            </w:r>
            <w:r w:rsidRPr="00E61904">
              <w:rPr>
                <w:rFonts w:ascii="GHEA Grapalat" w:hAnsi="GHEA Grapalat"/>
                <w:lang w:val="af-ZA"/>
              </w:rPr>
              <w:t xml:space="preserve"> </w:t>
            </w:r>
            <w:r w:rsidRPr="00E61904">
              <w:rPr>
                <w:rFonts w:ascii="GHEA Grapalat" w:hAnsi="GHEA Grapalat" w:cs="Sylfaen"/>
                <w:lang w:val="hy-AM"/>
              </w:rPr>
              <w:t>միջև</w:t>
            </w:r>
            <w:r w:rsidRPr="00E61904">
              <w:rPr>
                <w:rFonts w:ascii="GHEA Grapalat" w:hAnsi="GHEA Grapalat"/>
                <w:lang w:val="af-ZA"/>
              </w:rPr>
              <w:t xml:space="preserve"> 2016</w:t>
            </w:r>
            <w:r w:rsidRPr="00E61904">
              <w:rPr>
                <w:rFonts w:ascii="GHEA Grapalat" w:hAnsi="GHEA Grapalat" w:cs="Sylfaen"/>
                <w:lang w:val="hy-AM"/>
              </w:rPr>
              <w:t>թ</w:t>
            </w:r>
            <w:r w:rsidRPr="00E61904">
              <w:rPr>
                <w:rFonts w:ascii="GHEA Grapalat" w:hAnsi="GHEA Grapalat"/>
                <w:lang w:val="af-ZA"/>
              </w:rPr>
              <w:t xml:space="preserve">. </w:t>
            </w:r>
            <w:r w:rsidRPr="00E61904">
              <w:rPr>
                <w:rFonts w:ascii="GHEA Grapalat" w:hAnsi="GHEA Grapalat" w:cs="Sylfaen"/>
                <w:lang w:val="hy-AM"/>
              </w:rPr>
              <w:t>դեկտեմբերի</w:t>
            </w:r>
            <w:r w:rsidRPr="00E61904">
              <w:rPr>
                <w:rFonts w:ascii="GHEA Grapalat" w:hAnsi="GHEA Grapalat"/>
                <w:lang w:val="af-ZA"/>
              </w:rPr>
              <w:t xml:space="preserve"> 14-</w:t>
            </w:r>
            <w:r w:rsidRPr="00E61904">
              <w:rPr>
                <w:rFonts w:ascii="GHEA Grapalat" w:hAnsi="GHEA Grapalat" w:cs="Sylfaen"/>
                <w:lang w:val="hy-AM"/>
              </w:rPr>
              <w:t>ին</w:t>
            </w:r>
            <w:r w:rsidRPr="00E61904">
              <w:rPr>
                <w:rFonts w:ascii="GHEA Grapalat" w:hAnsi="GHEA Grapalat"/>
                <w:lang w:val="af-ZA"/>
              </w:rPr>
              <w:t xml:space="preserve"> </w:t>
            </w:r>
            <w:r w:rsidRPr="00E61904">
              <w:rPr>
                <w:rFonts w:ascii="GHEA Grapalat" w:hAnsi="GHEA Grapalat" w:cs="Sylfaen"/>
                <w:lang w:val="hy-AM"/>
              </w:rPr>
              <w:t>կնքվ</w:t>
            </w:r>
            <w:r w:rsidRPr="00E61904">
              <w:rPr>
                <w:rFonts w:ascii="GHEA Grapalat" w:hAnsi="GHEA Grapalat" w:cs="Sylfaen"/>
                <w:lang w:val="hy-AM"/>
              </w:rPr>
              <w:t>ած</w:t>
            </w:r>
            <w:r w:rsidRPr="00E61904">
              <w:rPr>
                <w:rFonts w:ascii="GHEA Grapalat" w:hAnsi="GHEA Grapalat"/>
                <w:lang w:val="af-ZA"/>
              </w:rPr>
              <w:t xml:space="preserve"> &lt;&lt;</w:t>
            </w:r>
            <w:r w:rsidRPr="00E61904">
              <w:rPr>
                <w:rFonts w:ascii="GHEA Grapalat" w:hAnsi="GHEA Grapalat" w:cs="Sylfaen"/>
                <w:lang w:val="hy-AM"/>
              </w:rPr>
              <w:t>Հայփոստ</w:t>
            </w:r>
            <w:r w:rsidRPr="00E61904">
              <w:rPr>
                <w:rFonts w:ascii="GHEA Grapalat" w:hAnsi="GHEA Grapalat"/>
                <w:lang w:val="af-ZA"/>
              </w:rPr>
              <w:t xml:space="preserve">&gt;&gt; </w:t>
            </w:r>
            <w:r w:rsidRPr="00E61904">
              <w:rPr>
                <w:rFonts w:ascii="GHEA Grapalat" w:hAnsi="GHEA Grapalat" w:cs="Sylfaen"/>
                <w:lang w:val="hy-AM"/>
              </w:rPr>
              <w:t>ՓԲԸ</w:t>
            </w:r>
            <w:r w:rsidRPr="00E61904">
              <w:rPr>
                <w:rFonts w:ascii="GHEA Grapalat" w:hAnsi="GHEA Grapalat"/>
                <w:lang w:val="af-ZA"/>
              </w:rPr>
              <w:t>-</w:t>
            </w:r>
            <w:r w:rsidRPr="00E61904">
              <w:rPr>
                <w:rFonts w:ascii="GHEA Grapalat" w:hAnsi="GHEA Grapalat" w:cs="Sylfaen"/>
                <w:lang w:val="hy-AM"/>
              </w:rPr>
              <w:t>ի</w:t>
            </w:r>
            <w:r w:rsidRPr="00E61904">
              <w:rPr>
                <w:rFonts w:ascii="GHEA Grapalat" w:hAnsi="GHEA Grapalat"/>
                <w:lang w:val="af-ZA"/>
              </w:rPr>
              <w:t xml:space="preserve"> </w:t>
            </w:r>
            <w:r w:rsidRPr="00E61904">
              <w:rPr>
                <w:rFonts w:ascii="GHEA Grapalat" w:hAnsi="GHEA Grapalat" w:cs="Sylfaen"/>
                <w:lang w:val="hy-AM"/>
              </w:rPr>
              <w:t>բաժնետոմսերով</w:t>
            </w:r>
            <w:r w:rsidRPr="00E61904">
              <w:rPr>
                <w:rFonts w:ascii="GHEA Grapalat" w:hAnsi="GHEA Grapalat"/>
                <w:lang w:val="af-ZA"/>
              </w:rPr>
              <w:t xml:space="preserve"> </w:t>
            </w:r>
            <w:r w:rsidRPr="00E61904">
              <w:rPr>
                <w:rFonts w:ascii="GHEA Grapalat" w:hAnsi="GHEA Grapalat" w:cs="Sylfaen"/>
                <w:lang w:val="hy-AM"/>
              </w:rPr>
              <w:t>հավաստված</w:t>
            </w:r>
            <w:r w:rsidRPr="00E61904">
              <w:rPr>
                <w:rFonts w:ascii="GHEA Grapalat" w:hAnsi="GHEA Grapalat"/>
                <w:lang w:val="af-ZA"/>
              </w:rPr>
              <w:t xml:space="preserve"> </w:t>
            </w:r>
            <w:r w:rsidRPr="00E61904">
              <w:rPr>
                <w:rFonts w:ascii="GHEA Grapalat" w:hAnsi="GHEA Grapalat" w:cs="Sylfaen"/>
                <w:lang w:val="hy-AM"/>
              </w:rPr>
              <w:t>իրավունքների</w:t>
            </w:r>
            <w:r w:rsidRPr="00E61904">
              <w:rPr>
                <w:rFonts w:ascii="GHEA Grapalat" w:hAnsi="GHEA Grapalat"/>
                <w:lang w:val="af-ZA"/>
              </w:rPr>
              <w:t xml:space="preserve"> </w:t>
            </w:r>
            <w:r w:rsidRPr="00E61904">
              <w:rPr>
                <w:rFonts w:ascii="GHEA Grapalat" w:hAnsi="GHEA Grapalat" w:cs="Sylfaen"/>
                <w:lang w:val="hy-AM"/>
              </w:rPr>
              <w:t>հավատարմագրային</w:t>
            </w:r>
            <w:r w:rsidRPr="00E61904">
              <w:rPr>
                <w:rFonts w:ascii="GHEA Grapalat" w:hAnsi="GHEA Grapalat"/>
                <w:lang w:val="af-ZA"/>
              </w:rPr>
              <w:t xml:space="preserve"> </w:t>
            </w:r>
            <w:r w:rsidRPr="00E61904">
              <w:rPr>
                <w:rFonts w:ascii="GHEA Grapalat" w:hAnsi="GHEA Grapalat" w:cs="Sylfaen"/>
                <w:lang w:val="hy-AM"/>
              </w:rPr>
              <w:t>կառավարման</w:t>
            </w:r>
            <w:r w:rsidRPr="00E61904">
              <w:rPr>
                <w:rFonts w:ascii="GHEA Grapalat" w:hAnsi="GHEA Grapalat"/>
                <w:lang w:val="af-ZA"/>
              </w:rPr>
              <w:t xml:space="preserve"> </w:t>
            </w:r>
            <w:r w:rsidRPr="00E61904">
              <w:rPr>
                <w:rFonts w:ascii="GHEA Grapalat" w:hAnsi="GHEA Grapalat" w:cs="Sylfaen"/>
                <w:lang w:val="hy-AM"/>
              </w:rPr>
              <w:t>մասին</w:t>
            </w:r>
            <w:r w:rsidRPr="00E61904">
              <w:rPr>
                <w:rFonts w:ascii="GHEA Grapalat" w:hAnsi="GHEA Grapalat" w:cs="Sylfaen"/>
                <w:lang w:val="hy-AM"/>
              </w:rPr>
              <w:t xml:space="preserve"> </w:t>
            </w:r>
            <w:r w:rsidRPr="00E61904">
              <w:rPr>
                <w:rFonts w:ascii="GHEA Grapalat" w:hAnsi="GHEA Grapalat" w:cs="Sylfaen"/>
                <w:lang w:val="hy-AM"/>
              </w:rPr>
              <w:t>պայմանագր</w:t>
            </w:r>
            <w:r w:rsidRPr="00E61904">
              <w:rPr>
                <w:rFonts w:ascii="GHEA Grapalat" w:hAnsi="GHEA Grapalat" w:cs="Sylfaen"/>
                <w:lang w:val="hy-AM"/>
              </w:rPr>
              <w:t xml:space="preserve">ում </w:t>
            </w:r>
            <w:r w:rsidRPr="00E61904">
              <w:rPr>
                <w:rFonts w:ascii="GHEA Grapalat" w:hAnsi="GHEA Grapalat"/>
                <w:lang w:val="af-ZA"/>
              </w:rPr>
              <w:t xml:space="preserve">7.7 կետ չկա: </w:t>
            </w:r>
          </w:p>
          <w:p w:rsidR="00B63DE4" w:rsidRDefault="00B63DE4"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r>
              <w:rPr>
                <w:rFonts w:ascii="GHEA Grapalat" w:eastAsia="Times New Roman" w:hAnsi="GHEA Grapalat" w:cs="Sylfaen"/>
                <w:sz w:val="24"/>
                <w:szCs w:val="24"/>
                <w:lang w:val="ru-RU"/>
              </w:rPr>
              <w:t>Ընդունվել է ի գիտություն</w:t>
            </w:r>
          </w:p>
          <w:p w:rsidR="005D05AC" w:rsidRDefault="005D05AC" w:rsidP="001C064F">
            <w:pPr>
              <w:pStyle w:val="NoSpacing"/>
              <w:rPr>
                <w:rFonts w:ascii="GHEA Grapalat" w:eastAsia="Times New Roman" w:hAnsi="GHEA Grapalat" w:cs="Sylfaen"/>
                <w:sz w:val="24"/>
                <w:szCs w:val="24"/>
                <w:lang w:val="ru-RU"/>
              </w:rPr>
            </w:pPr>
          </w:p>
          <w:p w:rsidR="005D05AC" w:rsidRDefault="005D05AC" w:rsidP="001C064F">
            <w:pPr>
              <w:pStyle w:val="NoSpacing"/>
              <w:rPr>
                <w:rFonts w:ascii="GHEA Grapalat" w:eastAsia="Times New Roman" w:hAnsi="GHEA Grapalat" w:cs="Sylfaen"/>
                <w:sz w:val="24"/>
                <w:szCs w:val="24"/>
                <w:lang w:val="ru-RU"/>
              </w:rPr>
            </w:pPr>
          </w:p>
          <w:p w:rsidR="005D05AC" w:rsidRPr="00E61904" w:rsidRDefault="005D05AC" w:rsidP="001C064F">
            <w:pPr>
              <w:pStyle w:val="NoSpacing"/>
              <w:rPr>
                <w:rFonts w:ascii="GHEA Grapalat" w:eastAsia="Times New Roman" w:hAnsi="GHEA Grapalat" w:cs="Sylfaen"/>
                <w:sz w:val="24"/>
                <w:szCs w:val="24"/>
                <w:lang w:val="ru-RU"/>
              </w:rPr>
            </w:pPr>
            <w:r>
              <w:rPr>
                <w:rFonts w:ascii="GHEA Grapalat" w:eastAsia="Times New Roman" w:hAnsi="GHEA Grapalat" w:cs="Sylfaen"/>
                <w:sz w:val="24"/>
                <w:szCs w:val="24"/>
                <w:lang w:val="ru-RU"/>
              </w:rPr>
              <w:t>Ընդունվել է ի գիտություն</w:t>
            </w:r>
            <w:bookmarkStart w:id="0" w:name="_GoBack"/>
            <w:bookmarkEnd w:id="0"/>
          </w:p>
        </w:tc>
      </w:tr>
    </w:tbl>
    <w:p w:rsidR="005C1E95" w:rsidRPr="00E61904" w:rsidRDefault="005C1E95">
      <w:pPr>
        <w:rPr>
          <w:rFonts w:ascii="GHEA Grapalat" w:hAnsi="GHEA Grapalat"/>
          <w:lang w:val="hy-AM"/>
        </w:rPr>
      </w:pPr>
    </w:p>
    <w:sectPr w:rsidR="005C1E95" w:rsidRPr="00E61904" w:rsidSect="00B63DE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E4"/>
    <w:rsid w:val="001C064F"/>
    <w:rsid w:val="005C1E95"/>
    <w:rsid w:val="005D05AC"/>
    <w:rsid w:val="00B63DE4"/>
    <w:rsid w:val="00E61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2FF63-9C05-46AA-8F9D-27B4DFB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DE4"/>
    <w:pPr>
      <w:spacing w:after="0" w:line="240" w:lineRule="auto"/>
    </w:pPr>
    <w:rPr>
      <w:rFonts w:ascii="Times New Roman" w:eastAsia="Batang"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63DE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6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904"/>
    <w:rPr>
      <w:rFonts w:ascii="Segoe UI" w:eastAsia="Batang"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https://mul2.gov.am/tasks/75459/oneclick/ardir_ampopatert_new.docx?token=5d6c4aec827fd2d28a8f5d8af74647a8</cp:keywords>
</cp:coreProperties>
</file>