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43F2" w14:textId="77777777" w:rsidR="00C95E60" w:rsidRPr="00000895" w:rsidRDefault="00C95E60" w:rsidP="00C95E60">
      <w:pPr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000895">
        <w:rPr>
          <w:rFonts w:ascii="GHEA Grapalat" w:hAnsi="GHEA Grapalat"/>
          <w:b/>
          <w:sz w:val="24"/>
          <w:szCs w:val="24"/>
          <w:lang w:val="hy-AM" w:eastAsia="ru-RU"/>
        </w:rPr>
        <w:t>ՏԵՂԵԿԱՆՔ-ՀԻՄՆԱՎՈՐՈՒՄ</w:t>
      </w:r>
    </w:p>
    <w:p w14:paraId="28DE5D9A" w14:textId="77777777" w:rsidR="00C95E60" w:rsidRPr="00000895" w:rsidRDefault="00C95E60" w:rsidP="00C95E60">
      <w:pPr>
        <w:ind w:left="426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000895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«ՀԱՅԱՍՏԱՆԻ ՀԱՆՐԱՊԵՏՈՒԹՅԱՆ ԿԱՌԱՎԱՐՈՒԹՅԱՆ, «ԱՐՄՓԱՈՒԵՐ» ՓԱԿ ԲԱԺՆԵՏԻՐԱԿԱՆ ԸՆԿԵՐՈՒԹՅԱՆ ԵՎ «ՌԵՆԿՈ» Ս.Պ.Ա-Ի ՄԻՋԵՎ ՇՐՋԱՆԱԿԱՅԻՆ ՀԱՄԱՁԱՅՆԱԳՐԻ ՀԱՄԱՁԱՅՆ ԿՆՔՎԱԾ ՈՒՂՂԱԿԻ ՊԱՅՄԱՆԱԳՐՈՒՄ ՓՈՓՈԽՈՒԹՅՈՒՆՆԵՐ ԿԱՏԱՐԵԼՈՒ ՄԱՍԻՆ ԼՐԱՑՈՒՑԻՉ ՀԱՄԱՁԱՅՆԱԳՐԻՆ ՀԱՎԱՆՈՒԹՅՈՒՆ ՏԱԼՈՒ ՄԱՍԻՆ» </w:t>
      </w:r>
      <w:r w:rsidRPr="00000895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00089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00895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00089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00895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00089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00895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14:paraId="75B9A9BE" w14:textId="77777777" w:rsidR="00C95E60" w:rsidRPr="00000895" w:rsidRDefault="00C95E60" w:rsidP="00C95E60">
      <w:pPr>
        <w:ind w:firstLine="426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</w:p>
    <w:p w14:paraId="6EB1E531" w14:textId="77777777" w:rsidR="00C95E60" w:rsidRPr="00000895" w:rsidRDefault="00C95E60" w:rsidP="00C95E60">
      <w:pPr>
        <w:spacing w:after="120"/>
        <w:ind w:firstLine="432"/>
        <w:jc w:val="both"/>
        <w:rPr>
          <w:rFonts w:ascii="GHEA Grapalat" w:hAnsi="GHEA Grapalat" w:cs="Sylfaen"/>
          <w:b/>
          <w:i/>
          <w:sz w:val="24"/>
          <w:szCs w:val="24"/>
          <w:lang w:val="hy-AM" w:eastAsia="ru-RU"/>
        </w:rPr>
      </w:pPr>
      <w:r w:rsidRPr="00000895">
        <w:rPr>
          <w:rFonts w:ascii="GHEA Grapalat" w:hAnsi="GHEA Grapalat" w:cs="Sylfaen"/>
          <w:b/>
          <w:i/>
          <w:sz w:val="24"/>
          <w:szCs w:val="24"/>
          <w:lang w:val="hy-AM" w:eastAsia="ru-RU"/>
        </w:rPr>
        <w:t xml:space="preserve">Իրավիճակը. </w:t>
      </w:r>
    </w:p>
    <w:p w14:paraId="39B27CB7" w14:textId="77777777" w:rsidR="00C95E60" w:rsidRPr="00000895" w:rsidRDefault="00C95E60" w:rsidP="00C95E60">
      <w:pPr>
        <w:pStyle w:val="BodyText2"/>
        <w:spacing w:line="276" w:lineRule="auto"/>
        <w:ind w:firstLine="432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>2019թ. հ</w:t>
      </w:r>
      <w:bookmarkStart w:id="0" w:name="_GoBack"/>
      <w:bookmarkEnd w:id="0"/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>ունվարի 17</w:t>
      </w: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noBreakHyphen/>
        <w:t>ի նիստում Կառավարությունը հավանություն է տվել Կառավարության, «Արմփաուեր» ՓԲԸ-ի և «Ռենկո» Ս</w:t>
      </w:r>
      <w:r w:rsidRPr="00000895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Pr="00000895">
        <w:rPr>
          <w:rFonts w:ascii="GHEA Grapalat" w:hAnsi="GHEA Grapalat" w:cs="GHEA Grapalat"/>
          <w:bCs/>
          <w:sz w:val="24"/>
          <w:szCs w:val="24"/>
          <w:lang w:val="hy-AM" w:eastAsia="en-US"/>
        </w:rPr>
        <w:t>Պ</w:t>
      </w:r>
      <w:r w:rsidRPr="00000895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Pr="00000895">
        <w:rPr>
          <w:rFonts w:ascii="GHEA Grapalat" w:hAnsi="GHEA Grapalat" w:cs="GHEA Grapalat"/>
          <w:bCs/>
          <w:sz w:val="24"/>
          <w:szCs w:val="24"/>
          <w:lang w:val="hy-AM" w:eastAsia="en-US"/>
        </w:rPr>
        <w:t>Ա</w:t>
      </w:r>
      <w:r w:rsidRPr="00000895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>-</w:t>
      </w:r>
      <w:r w:rsidRPr="00000895">
        <w:rPr>
          <w:rFonts w:ascii="GHEA Grapalat" w:hAnsi="GHEA Grapalat" w:cs="GHEA Grapalat"/>
          <w:bCs/>
          <w:sz w:val="24"/>
          <w:szCs w:val="24"/>
          <w:lang w:val="hy-AM" w:eastAsia="en-US"/>
        </w:rPr>
        <w:t>ի</w:t>
      </w: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Pr="00000895">
        <w:rPr>
          <w:rFonts w:ascii="GHEA Grapalat" w:hAnsi="GHEA Grapalat" w:cs="GHEA Grapalat"/>
          <w:bCs/>
          <w:sz w:val="24"/>
          <w:szCs w:val="24"/>
          <w:lang w:val="hy-AM" w:eastAsia="en-US"/>
        </w:rPr>
        <w:t>միջև</w:t>
      </w: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Pr="00000895">
        <w:rPr>
          <w:rFonts w:ascii="GHEA Grapalat" w:hAnsi="GHEA Grapalat" w:cs="GHEA Grapalat"/>
          <w:bCs/>
          <w:sz w:val="24"/>
          <w:szCs w:val="24"/>
          <w:lang w:val="hy-AM" w:eastAsia="en-US"/>
        </w:rPr>
        <w:t>կնքված</w:t>
      </w: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Շ</w:t>
      </w:r>
      <w:r w:rsidRPr="00000895">
        <w:rPr>
          <w:rFonts w:ascii="GHEA Grapalat" w:hAnsi="GHEA Grapalat" w:cs="GHEA Grapalat"/>
          <w:bCs/>
          <w:sz w:val="24"/>
          <w:szCs w:val="24"/>
          <w:lang w:val="hy-AM" w:eastAsia="en-US"/>
        </w:rPr>
        <w:t>րջանակային</w:t>
      </w: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Pr="00000895">
        <w:rPr>
          <w:rFonts w:ascii="GHEA Grapalat" w:hAnsi="GHEA Grapalat" w:cs="GHEA Grapalat"/>
          <w:bCs/>
          <w:sz w:val="24"/>
          <w:szCs w:val="24"/>
          <w:lang w:val="hy-AM" w:eastAsia="en-US"/>
        </w:rPr>
        <w:t>հա</w:t>
      </w: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մաձայնագրի համաձայն Ուղղակի պայմանագրին (այսուհետ՝ Ուղղակի Պայմանագիր), որն այնուհետև կնքվել է Կողմերի միջև: </w:t>
      </w:r>
    </w:p>
    <w:p w14:paraId="0F675253" w14:textId="77777777" w:rsidR="00C95E60" w:rsidRPr="00000895" w:rsidRDefault="00C95E60" w:rsidP="00C95E60">
      <w:pPr>
        <w:pStyle w:val="BodyText2"/>
        <w:spacing w:line="276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>Հաշվի առնելով, որ Ուղղակի Պայմանագրի Բաժին 16-ը (Կարգավորող օրենք. Վեճերի լուծում), պարունակում է էական վրիպակ, որը ոչ կիրառելի է դարձնում պայմանագրի արբիտրաժային դրույթները՝ անհրաժեշտ է դրանում կատարել փոփոխություն։  Մասնավորապես, Ուղղակի Պայմանագրի Բաժին 16(c)-ը սահմանում է, որ վեճերը կարգավորվում են արբիտրաժի միջոցով՝ Միջազգային առևտրի պալատի Արբիտրաժի կանոններին համապատասխան («ՄԱԿ կանոններ»), սակայն այն միաժամանակ սահմանում է, որ Լոնդոնի Միջազգային արբիտրաժային դատարանը հանդես է գալիս որպես նշանակող մարմին և կառավարիչ, ինչն իրագործելի չէ ՄԱԿ Կանոնների ներքո:</w:t>
      </w:r>
    </w:p>
    <w:p w14:paraId="09CDE577" w14:textId="77777777" w:rsidR="00C95E60" w:rsidRPr="00000895" w:rsidRDefault="00C95E60" w:rsidP="00C95E60">
      <w:pPr>
        <w:pStyle w:val="BodyText2"/>
        <w:spacing w:line="276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Այդ նպատակով Արդարադատության նախարարության կողմից Ծրագիրը Վարկավորողների հետ սկսված բանակցությունների արդյունքում հնարավոր է եղել Ուղղակի պայմանագրի 16(c) կետից հանել Լոնդոնի Միջազգային արբիտաժային դատարանին վերաբերող նախադասությունը։ Ըստ այդմ՝ փոփոխության է ենթարկվել Ուղղակի Պայմանագրի արբիտրաժային դրույթը։ </w:t>
      </w:r>
    </w:p>
    <w:p w14:paraId="3AE8B942" w14:textId="77777777" w:rsidR="00C95E60" w:rsidRPr="00000895" w:rsidRDefault="00C95E60" w:rsidP="00C95E60">
      <w:pPr>
        <w:pStyle w:val="BodyText2"/>
        <w:spacing w:line="276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</w:p>
    <w:p w14:paraId="0D17E735" w14:textId="77777777" w:rsidR="00C95E60" w:rsidRPr="00000895" w:rsidRDefault="00C95E60" w:rsidP="00C95E60">
      <w:pPr>
        <w:pStyle w:val="BodyText2"/>
        <w:spacing w:line="276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/>
          <w:bCs/>
          <w:i/>
          <w:sz w:val="24"/>
          <w:szCs w:val="24"/>
          <w:lang w:val="hy-AM" w:eastAsia="en-US"/>
        </w:rPr>
        <w:t>Հիմնական փոփոխությունը</w:t>
      </w:r>
    </w:p>
    <w:p w14:paraId="690D81A4" w14:textId="77777777" w:rsidR="00C95E60" w:rsidRPr="00000895" w:rsidRDefault="00C95E60" w:rsidP="00C95E60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Cs/>
          <w:i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>Ուղղակի Պայմանագրի 16 (c) կետը նախատեսում է ՛՛</w:t>
      </w:r>
      <w:r w:rsidRPr="00000895">
        <w:rPr>
          <w:rFonts w:ascii="GHEA Grapalat" w:hAnsi="GHEA Grapalat" w:cs="Sylfaen"/>
          <w:bCs/>
          <w:i/>
          <w:sz w:val="24"/>
          <w:szCs w:val="24"/>
          <w:lang w:val="hy-AM" w:eastAsia="en-US"/>
        </w:rPr>
        <w:t>Ցանկացած Վեճ պետք է ի վերջո լուծվի արբիտրաժի միջոցով՝ Միջազգային առևտրի պալատի այդ պահին գործող Արբիտրաժի Կանոններին համապատասխան («ՄԱՊ Կանոններ»): Միջազգային արբիտրաժի Լոնդոնի դատարանը հանդես է գալիս որպես նշանակող մարմին և կառավարիչ</w:t>
      </w: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t>՛՛:</w:t>
      </w:r>
    </w:p>
    <w:p w14:paraId="463362EB" w14:textId="77777777" w:rsidR="00C95E60" w:rsidRPr="00000895" w:rsidRDefault="00C95E60" w:rsidP="00C95E60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Cs/>
          <w:sz w:val="24"/>
          <w:szCs w:val="24"/>
          <w:lang w:val="hy-AM" w:eastAsia="en-US"/>
        </w:rPr>
        <w:lastRenderedPageBreak/>
        <w:t xml:space="preserve"> </w:t>
      </w:r>
    </w:p>
    <w:p w14:paraId="3C66B241" w14:textId="77777777" w:rsidR="00C95E60" w:rsidRPr="00000895" w:rsidRDefault="00C95E60" w:rsidP="00C95E60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Առաջարկվող փոփոխությունը. </w:t>
      </w:r>
    </w:p>
    <w:p w14:paraId="4AD13C22" w14:textId="77777777" w:rsidR="00C95E60" w:rsidRPr="00000895" w:rsidRDefault="00C95E60" w:rsidP="00C95E60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ա) հանվում է 16 (c) կետի հետևյալ նախադասությունը՝ </w:t>
      </w:r>
      <w:r w:rsidRPr="00000895">
        <w:rPr>
          <w:rFonts w:ascii="GHEA Grapalat" w:hAnsi="GHEA Grapalat" w:cs="Sylfaen"/>
          <w:b/>
          <w:bCs/>
          <w:i/>
          <w:sz w:val="24"/>
          <w:szCs w:val="24"/>
          <w:lang w:val="hy-AM" w:eastAsia="en-US"/>
        </w:rPr>
        <w:t>«Միջազգային արբիտրաժի Լոնդոնի դատարանը հանդես է գալիս որպես նշանակող մարմին և կառավարիչ»</w:t>
      </w:r>
      <w:r w:rsidRPr="00000895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 xml:space="preserve"> :</w:t>
      </w:r>
    </w:p>
    <w:p w14:paraId="57FCB9FE" w14:textId="77777777" w:rsidR="00C95E60" w:rsidRPr="00000895" w:rsidRDefault="00C95E60" w:rsidP="00C95E60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 w:eastAsia="en-US"/>
        </w:rPr>
      </w:pPr>
    </w:p>
    <w:p w14:paraId="157836B8" w14:textId="77777777" w:rsidR="00C95E60" w:rsidRPr="00000895" w:rsidRDefault="00C95E60" w:rsidP="00C95E60">
      <w:pPr>
        <w:pStyle w:val="BodyText2"/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 w:eastAsia="en-US"/>
        </w:rPr>
      </w:pPr>
      <w:r w:rsidRPr="00000895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Ակնկալվող արդյունքը</w:t>
      </w:r>
    </w:p>
    <w:p w14:paraId="3FD7E478" w14:textId="77777777" w:rsidR="00C95E60" w:rsidRPr="00000895" w:rsidRDefault="00C95E60" w:rsidP="00C95E60">
      <w:pPr>
        <w:tabs>
          <w:tab w:val="left" w:pos="426"/>
        </w:tabs>
        <w:spacing w:after="120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00895">
        <w:rPr>
          <w:rFonts w:ascii="GHEA Grapalat" w:hAnsi="GHEA Grapalat" w:cs="Sylfaen"/>
          <w:bCs/>
          <w:sz w:val="24"/>
          <w:szCs w:val="24"/>
          <w:lang w:val="hy-AM"/>
        </w:rPr>
        <w:tab/>
        <w:t xml:space="preserve">Առաջարկվող փոփոխության ընդունման արդյունքում՝ Ուղղակի Պայմանագրի 16-րդ գլխով նախատեսված վեճերի լուծման կարգը դառնում է իրագործելի և ազատվում է պարունակող հակասություններից։ </w:t>
      </w:r>
    </w:p>
    <w:p w14:paraId="68E9D4C6" w14:textId="34307903" w:rsidR="00DF12B8" w:rsidRPr="00000895" w:rsidRDefault="00DF12B8" w:rsidP="00C95E60">
      <w:pPr>
        <w:rPr>
          <w:rFonts w:ascii="GHEA Grapalat" w:hAnsi="GHEA Grapalat"/>
          <w:lang w:val="hy-AM"/>
        </w:rPr>
      </w:pPr>
    </w:p>
    <w:sectPr w:rsidR="00DF12B8" w:rsidRPr="00000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2483"/>
    <w:multiLevelType w:val="hybridMultilevel"/>
    <w:tmpl w:val="30E646B4"/>
    <w:lvl w:ilvl="0" w:tplc="0419000F">
      <w:start w:val="1"/>
      <w:numFmt w:val="decimal"/>
      <w:lvlText w:val="%1."/>
      <w:lvlJc w:val="left"/>
      <w:pPr>
        <w:ind w:left="2250" w:hanging="360"/>
      </w:pPr>
    </w:lvl>
    <w:lvl w:ilvl="1" w:tplc="04190019">
      <w:start w:val="1"/>
      <w:numFmt w:val="lowerLetter"/>
      <w:lvlText w:val="%2."/>
      <w:lvlJc w:val="left"/>
      <w:pPr>
        <w:ind w:left="2970" w:hanging="360"/>
      </w:pPr>
    </w:lvl>
    <w:lvl w:ilvl="2" w:tplc="0419001B">
      <w:start w:val="1"/>
      <w:numFmt w:val="lowerRoman"/>
      <w:lvlText w:val="%3."/>
      <w:lvlJc w:val="right"/>
      <w:pPr>
        <w:ind w:left="3690" w:hanging="180"/>
      </w:pPr>
    </w:lvl>
    <w:lvl w:ilvl="3" w:tplc="0419000F">
      <w:start w:val="1"/>
      <w:numFmt w:val="decimal"/>
      <w:lvlText w:val="%4."/>
      <w:lvlJc w:val="left"/>
      <w:pPr>
        <w:ind w:left="4410" w:hanging="360"/>
      </w:pPr>
    </w:lvl>
    <w:lvl w:ilvl="4" w:tplc="04190019">
      <w:start w:val="1"/>
      <w:numFmt w:val="lowerLetter"/>
      <w:lvlText w:val="%5."/>
      <w:lvlJc w:val="left"/>
      <w:pPr>
        <w:ind w:left="5130" w:hanging="360"/>
      </w:pPr>
    </w:lvl>
    <w:lvl w:ilvl="5" w:tplc="0419001B">
      <w:start w:val="1"/>
      <w:numFmt w:val="lowerRoman"/>
      <w:lvlText w:val="%6."/>
      <w:lvlJc w:val="right"/>
      <w:pPr>
        <w:ind w:left="5850" w:hanging="180"/>
      </w:pPr>
    </w:lvl>
    <w:lvl w:ilvl="6" w:tplc="0419000F">
      <w:start w:val="1"/>
      <w:numFmt w:val="decimal"/>
      <w:lvlText w:val="%7."/>
      <w:lvlJc w:val="left"/>
      <w:pPr>
        <w:ind w:left="6570" w:hanging="360"/>
      </w:pPr>
    </w:lvl>
    <w:lvl w:ilvl="7" w:tplc="04190019">
      <w:start w:val="1"/>
      <w:numFmt w:val="lowerLetter"/>
      <w:lvlText w:val="%8."/>
      <w:lvlJc w:val="left"/>
      <w:pPr>
        <w:ind w:left="7290" w:hanging="360"/>
      </w:pPr>
    </w:lvl>
    <w:lvl w:ilvl="8" w:tplc="0419001B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54157B9C"/>
    <w:multiLevelType w:val="hybridMultilevel"/>
    <w:tmpl w:val="991A08B6"/>
    <w:lvl w:ilvl="0" w:tplc="51629CE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50F0F"/>
    <w:multiLevelType w:val="hybridMultilevel"/>
    <w:tmpl w:val="17685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5E"/>
    <w:rsid w:val="00000895"/>
    <w:rsid w:val="00060AA8"/>
    <w:rsid w:val="00063E4A"/>
    <w:rsid w:val="00087E18"/>
    <w:rsid w:val="000B655C"/>
    <w:rsid w:val="00161F21"/>
    <w:rsid w:val="001837ED"/>
    <w:rsid w:val="00250ACD"/>
    <w:rsid w:val="002A34BF"/>
    <w:rsid w:val="002F0165"/>
    <w:rsid w:val="00347BC6"/>
    <w:rsid w:val="00366017"/>
    <w:rsid w:val="00416812"/>
    <w:rsid w:val="004F0E6C"/>
    <w:rsid w:val="005A238F"/>
    <w:rsid w:val="006532E7"/>
    <w:rsid w:val="00684361"/>
    <w:rsid w:val="0071058D"/>
    <w:rsid w:val="00767FCB"/>
    <w:rsid w:val="00807820"/>
    <w:rsid w:val="00833322"/>
    <w:rsid w:val="00891FEC"/>
    <w:rsid w:val="008E625E"/>
    <w:rsid w:val="009269E2"/>
    <w:rsid w:val="00943C89"/>
    <w:rsid w:val="0094742C"/>
    <w:rsid w:val="00B23A15"/>
    <w:rsid w:val="00BB4E10"/>
    <w:rsid w:val="00BC167E"/>
    <w:rsid w:val="00C4600E"/>
    <w:rsid w:val="00C95E60"/>
    <w:rsid w:val="00CE4698"/>
    <w:rsid w:val="00D0062F"/>
    <w:rsid w:val="00D54CEF"/>
    <w:rsid w:val="00DF12B8"/>
    <w:rsid w:val="00E03745"/>
    <w:rsid w:val="00F43A5E"/>
    <w:rsid w:val="00F57490"/>
    <w:rsid w:val="00F60E2B"/>
    <w:rsid w:val="00F80FD5"/>
    <w:rsid w:val="00F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AE8A"/>
  <w15:chartTrackingRefBased/>
  <w15:docId w15:val="{D9E90D38-54B6-4569-B7C5-8F3361BA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7E18"/>
    <w:pPr>
      <w:spacing w:line="360" w:lineRule="auto"/>
      <w:jc w:val="center"/>
    </w:pPr>
    <w:rPr>
      <w:rFonts w:ascii="Times Armenian" w:hAnsi="Times Armenian"/>
      <w:noProof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087E18"/>
    <w:rPr>
      <w:rFonts w:ascii="Times Armenian" w:eastAsia="Times New Roman" w:hAnsi="Times Armenian" w:cs="Times New Roman"/>
      <w:noProof/>
      <w:sz w:val="28"/>
      <w:szCs w:val="20"/>
      <w:lang w:val="ru-RU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087E18"/>
    <w:pPr>
      <w:spacing w:line="360" w:lineRule="auto"/>
      <w:ind w:firstLine="697"/>
    </w:pPr>
    <w:rPr>
      <w:rFonts w:ascii="Arial Armenian" w:hAnsi="Arial Armeni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7E18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087E18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87E18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character" w:styleId="Strong">
    <w:name w:val="Strong"/>
    <w:basedOn w:val="DefaultParagraphFont"/>
    <w:uiPriority w:val="22"/>
    <w:qFormat/>
    <w:rsid w:val="00087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https://mul2.gov.am/tasks/69506/oneclick/TEXEKANQ-HIMNAVORUM.docx?token=e7285428b26ae7a82e5d92c1f45c5637</cp:keywords>
</cp:coreProperties>
</file>