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944" w:rsidRDefault="00FD1944" w:rsidP="00FD1944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FD1944" w:rsidRDefault="00FD1944" w:rsidP="00FD1944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EF453D" w:rsidRDefault="00EF453D" w:rsidP="00FD1944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EF453D" w:rsidRDefault="00EF453D" w:rsidP="00FD1944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</w:p>
    <w:p w:rsidR="00FD1944" w:rsidRPr="00ED6571" w:rsidRDefault="00FD1944" w:rsidP="00FD1944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 w:rsidRPr="00ED6571"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FD1944" w:rsidRDefault="00FD1944" w:rsidP="00FD1944">
      <w:pPr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EF453D" w:rsidRDefault="00EF453D" w:rsidP="00FD1944">
      <w:pPr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EF453D" w:rsidRPr="00ED6571" w:rsidRDefault="00EF453D" w:rsidP="00FD1944">
      <w:pPr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FD1944" w:rsidRPr="00ED6571" w:rsidRDefault="00FD1944" w:rsidP="00FD194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ED6571">
        <w:rPr>
          <w:rFonts w:ascii="GHEA Grapalat" w:hAnsi="GHEA Grapalat"/>
          <w:b/>
          <w:bCs/>
          <w:kern w:val="32"/>
          <w:lang w:val="pt-BR"/>
        </w:rPr>
        <w:t>ՀԱՅԱՍՏԱՆԻ</w:t>
      </w:r>
      <w:r w:rsidRPr="00ED6571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ED6571">
        <w:rPr>
          <w:rFonts w:ascii="GHEA Grapalat" w:hAnsi="GHEA Grapalat"/>
          <w:b/>
          <w:bCs/>
          <w:kern w:val="32"/>
          <w:lang w:val="pt-BR"/>
        </w:rPr>
        <w:t>ՀԱՆՐԱՊԵՏՈւԹՅԱՆ</w:t>
      </w:r>
      <w:r w:rsidRPr="00ED6571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ED6571"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FD1944" w:rsidRPr="00ED6571" w:rsidRDefault="00FD1944" w:rsidP="00FD1944">
      <w:pPr>
        <w:jc w:val="center"/>
        <w:rPr>
          <w:rFonts w:ascii="GHEA Grapalat" w:hAnsi="GHEA Grapalat"/>
          <w:b/>
          <w:bCs/>
          <w:kern w:val="32"/>
          <w:lang w:val="pt-BR"/>
        </w:rPr>
      </w:pPr>
      <w:r w:rsidRPr="00ED6571"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FD1944" w:rsidRPr="00ED6571" w:rsidRDefault="00FD1944" w:rsidP="00FD194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FD1944" w:rsidRPr="00ED6571" w:rsidRDefault="00FD1944" w:rsidP="00FD1944">
      <w:pPr>
        <w:jc w:val="center"/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</w:pPr>
      <w:r w:rsidRPr="00ED6571">
        <w:rPr>
          <w:rFonts w:ascii="GHEA Grapalat" w:hAnsi="GHEA Grapalat"/>
          <w:b/>
          <w:bCs/>
          <w:kern w:val="32"/>
          <w:sz w:val="22"/>
          <w:szCs w:val="22"/>
          <w:lang w:val="pt-BR"/>
        </w:rPr>
        <w:t>ՙ</w:t>
      </w:r>
      <w:r w:rsidRPr="00ED6571"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  <w:t>__</w:t>
      </w:r>
      <w:r w:rsidRPr="00ED6571">
        <w:rPr>
          <w:rFonts w:ascii="GHEA Grapalat" w:hAnsi="GHEA Grapalat"/>
          <w:b/>
          <w:bCs/>
          <w:kern w:val="32"/>
          <w:sz w:val="22"/>
          <w:szCs w:val="22"/>
          <w:lang w:val="pt-BR"/>
        </w:rPr>
        <w:t>՚</w:t>
      </w:r>
      <w:r w:rsidRPr="00ED6571"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  <w:t>_____________201</w:t>
      </w:r>
      <w:r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  <w:t>3</w:t>
      </w:r>
      <w:r w:rsidRPr="00ED6571">
        <w:rPr>
          <w:rFonts w:ascii="GHEA Grapalat" w:hAnsi="GHEA Grapalat"/>
          <w:b/>
          <w:bCs/>
          <w:kern w:val="32"/>
          <w:sz w:val="22"/>
          <w:szCs w:val="22"/>
          <w:lang w:val="pt-BR"/>
        </w:rPr>
        <w:t>թ</w:t>
      </w:r>
      <w:r w:rsidRPr="00ED6571"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  <w:t>. N ____-</w:t>
      </w:r>
      <w:r w:rsidRPr="00ED6571">
        <w:rPr>
          <w:rFonts w:ascii="GHEA Grapalat" w:hAnsi="GHEA Grapalat"/>
          <w:b/>
          <w:bCs/>
          <w:kern w:val="32"/>
          <w:sz w:val="22"/>
          <w:szCs w:val="22"/>
          <w:lang w:val="pt-BR"/>
        </w:rPr>
        <w:t>Ա</w:t>
      </w:r>
    </w:p>
    <w:p w:rsidR="00FD1944" w:rsidRPr="00ED6571" w:rsidRDefault="00FD1944" w:rsidP="00FD1944">
      <w:pPr>
        <w:jc w:val="center"/>
        <w:rPr>
          <w:rFonts w:ascii="GHEA Grapalat" w:hAnsi="GHEA Grapalat" w:cs="Arial"/>
          <w:b/>
          <w:bCs/>
          <w:kern w:val="32"/>
          <w:sz w:val="22"/>
          <w:szCs w:val="22"/>
          <w:lang w:val="pt-BR"/>
        </w:rPr>
      </w:pPr>
    </w:p>
    <w:p w:rsidR="00FD1944" w:rsidRPr="00ED6571" w:rsidRDefault="00FD1944" w:rsidP="00FD1944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 w:rsidRPr="00ED6571">
        <w:rPr>
          <w:rFonts w:ascii="GHEA Grapalat" w:hAnsi="GHEA Grapalat"/>
          <w:b/>
          <w:bCs/>
          <w:kern w:val="32"/>
          <w:lang w:val="pt-BR"/>
        </w:rPr>
        <w:t>ԱՆՀԱՏՈՒՅՑ</w:t>
      </w:r>
      <w:r w:rsidRPr="00ED6571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ED6571">
        <w:rPr>
          <w:rFonts w:ascii="GHEA Grapalat" w:hAnsi="GHEA Grapalat"/>
          <w:b/>
          <w:bCs/>
          <w:kern w:val="32"/>
          <w:lang w:val="pt-BR"/>
        </w:rPr>
        <w:t>ՕԳՏԱԳՈՐԾՄԱՆ</w:t>
      </w:r>
      <w:r w:rsidRPr="00ED6571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ED6571">
        <w:rPr>
          <w:rFonts w:ascii="GHEA Grapalat" w:hAnsi="GHEA Grapalat"/>
          <w:b/>
          <w:bCs/>
          <w:kern w:val="32"/>
          <w:lang w:val="pt-BR"/>
        </w:rPr>
        <w:t>ԻՐԱՎՈՒՆՔՈՎ</w:t>
      </w:r>
      <w:r w:rsidRPr="00ED6571"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 w:rsidRPr="00ED6571">
        <w:rPr>
          <w:rFonts w:ascii="GHEA Grapalat" w:hAnsi="GHEA Grapalat"/>
          <w:b/>
          <w:bCs/>
          <w:kern w:val="32"/>
          <w:lang w:val="pt-BR"/>
        </w:rPr>
        <w:t>ՏԱՐԱԾՔ</w:t>
      </w:r>
      <w:r w:rsidRPr="00ED6571">
        <w:rPr>
          <w:rFonts w:ascii="GHEA Grapalat" w:hAnsi="GHEA Grapalat" w:cs="Arial"/>
          <w:b/>
          <w:bCs/>
          <w:kern w:val="32"/>
          <w:lang w:val="pt-BR"/>
        </w:rPr>
        <w:t xml:space="preserve">  Հ</w:t>
      </w:r>
      <w:r w:rsidRPr="00ED6571">
        <w:rPr>
          <w:rFonts w:ascii="GHEA Grapalat" w:hAnsi="GHEA Grapalat"/>
          <w:b/>
          <w:bCs/>
          <w:kern w:val="32"/>
          <w:lang w:val="pt-BR"/>
        </w:rPr>
        <w:t>ԱՆՁՆԵԼՈՒ</w:t>
      </w:r>
      <w:r w:rsidRPr="00ED6571"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 w:rsidRPr="00ED6571"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FD1944" w:rsidRPr="00ED6571" w:rsidRDefault="00FD1944" w:rsidP="00FD1944">
      <w:pPr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FD1944" w:rsidRPr="00ED6571" w:rsidRDefault="00FD1944" w:rsidP="00FD1944">
      <w:pPr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FD1944" w:rsidRPr="00ED6571" w:rsidRDefault="00FD1944" w:rsidP="00FD1944">
      <w:pPr>
        <w:spacing w:line="276" w:lineRule="auto"/>
        <w:ind w:left="-90" w:firstLine="90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 xml:space="preserve">          Հիմք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ընդունելով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Հայաստանի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Հանրապետության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քաղաքացիական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օրենսգրքի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             685, 688-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րդ հոդվածներով և Հայաստանի Հանրապետության կառավարության 2011 թվականի փետրվարի 17-ի թիվ 304-Ն որոշմա</w:t>
      </w:r>
      <w:r w:rsidR="00B017D7">
        <w:rPr>
          <w:rFonts w:ascii="GHEA Grapalat" w:hAnsi="GHEA Grapalat"/>
          <w:bCs/>
          <w:kern w:val="32"/>
          <w:sz w:val="22"/>
          <w:szCs w:val="22"/>
          <w:lang w:val="pt-BR"/>
        </w:rPr>
        <w:t>ն 3-րդ կետի 2</w:t>
      </w:r>
      <w:r w:rsidR="00EF453D">
        <w:rPr>
          <w:rFonts w:ascii="GHEA Grapalat" w:hAnsi="GHEA Grapalat"/>
          <w:bCs/>
          <w:kern w:val="32"/>
          <w:sz w:val="22"/>
          <w:szCs w:val="22"/>
          <w:lang w:val="pt-BR"/>
        </w:rPr>
        <w:t>-րդ ենթակետով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 xml:space="preserve"> սահմանված դրույթները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>`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 xml:space="preserve"> Հայաստանի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Հանրապետության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կառավարությունը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ո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ր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ո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շ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ու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մ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/>
          <w:bCs/>
          <w:kern w:val="32"/>
          <w:sz w:val="22"/>
          <w:szCs w:val="22"/>
          <w:lang w:val="pt-BR"/>
        </w:rPr>
        <w:t>է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>.</w:t>
      </w:r>
    </w:p>
    <w:p w:rsidR="00FD1944" w:rsidRPr="00ED6571" w:rsidRDefault="00FD1944" w:rsidP="00FD1944">
      <w:pPr>
        <w:pStyle w:val="BodyText3"/>
        <w:numPr>
          <w:ilvl w:val="0"/>
          <w:numId w:val="1"/>
        </w:numPr>
        <w:spacing w:line="276" w:lineRule="auto"/>
        <w:ind w:left="-90" w:firstLine="90"/>
        <w:jc w:val="both"/>
        <w:rPr>
          <w:rFonts w:ascii="GHEA Grapalat" w:hAnsi="GHEA Grapalat" w:cs="Sylfaen"/>
          <w:bCs/>
          <w:sz w:val="22"/>
          <w:szCs w:val="22"/>
          <w:lang w:val="pt-BR"/>
        </w:rPr>
      </w:pP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Հայաստանի Հանրապետության կառավարությանն առընթեր պետական գույքի կառավարման վարչության տնօրինության Երևան քաղաքի Արշակունյաց 2ա հասցեի շենքի 2-րդ հարկից 487967 ՀՀ դրամ սկզբնական արժեքով 62.6 քառ.մետր մակերեսով տարածքը 10 /տաս/ տարի ժամկետով անհատույց օգտագործման իրավունքով հանձնել  </w:t>
      </w:r>
      <w:r w:rsidR="00EF453D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«Երկրապահ» թերթի </w:t>
      </w:r>
      <w:r w:rsidR="000501FF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խմբագրությունը տեղակայելու </w:t>
      </w:r>
      <w:r w:rsidR="00EF453D">
        <w:rPr>
          <w:rFonts w:ascii="GHEA Grapalat" w:hAnsi="GHEA Grapalat" w:cs="Arial"/>
          <w:bCs/>
          <w:kern w:val="32"/>
          <w:sz w:val="22"/>
          <w:szCs w:val="22"/>
          <w:lang w:val="pt-BR"/>
        </w:rPr>
        <w:t>նպատակով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>:</w:t>
      </w:r>
    </w:p>
    <w:p w:rsidR="00FD1944" w:rsidRDefault="00FD1944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2.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Հայաստանի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Հանրապետության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կառավարությանն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առընթեր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պետական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գ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ույքի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կառավարման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վարչության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պետին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>`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 xml:space="preserve"> սույն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որոշումն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ուժի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մեջ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մտնելուց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հետո,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եռամսյա ժամկետում, կազմակերպության հետ կնքել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սույն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որոշման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1-ին կետում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նշված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տարածքի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անհատույց օգտագործման պայմանագիր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 /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այսուհետ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` 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պայմանա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>գ</w:t>
      </w:r>
      <w:r w:rsidRPr="00ED6571">
        <w:rPr>
          <w:rFonts w:ascii="GHEA Grapalat" w:hAnsi="GHEA Grapalat" w:cs="Sylfaen"/>
          <w:bCs/>
          <w:sz w:val="22"/>
          <w:szCs w:val="22"/>
          <w:lang w:val="pt-BR"/>
        </w:rPr>
        <w:t>իր</w:t>
      </w:r>
      <w:r w:rsidRPr="00ED6571">
        <w:rPr>
          <w:rFonts w:ascii="GHEA Grapalat" w:hAnsi="GHEA Grapalat" w:cs="Arial Armenian"/>
          <w:bCs/>
          <w:sz w:val="22"/>
          <w:szCs w:val="22"/>
          <w:lang w:val="pt-BR"/>
        </w:rPr>
        <w:t xml:space="preserve">/` </w:t>
      </w:r>
      <w:r w:rsidR="00EF453D">
        <w:rPr>
          <w:rFonts w:ascii="GHEA Grapalat" w:hAnsi="GHEA Grapalat" w:cs="Arial Armenian"/>
          <w:bCs/>
          <w:sz w:val="22"/>
          <w:szCs w:val="22"/>
          <w:lang w:val="pt-BR"/>
        </w:rPr>
        <w:t>ս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>ահմանել</w:t>
      </w:r>
      <w:r w:rsidR="00EF453D">
        <w:rPr>
          <w:rFonts w:ascii="GHEA Grapalat" w:hAnsi="GHEA Grapalat" w:cs="Arial"/>
          <w:bCs/>
          <w:kern w:val="32"/>
          <w:sz w:val="22"/>
          <w:szCs w:val="22"/>
          <w:lang w:val="pt-BR"/>
        </w:rPr>
        <w:t>ով</w:t>
      </w:r>
      <w:r w:rsidRPr="00ED6571">
        <w:rPr>
          <w:rFonts w:ascii="GHEA Grapalat" w:hAnsi="GHEA Grapalat" w:cs="Arial"/>
          <w:bCs/>
          <w:kern w:val="32"/>
          <w:sz w:val="22"/>
          <w:szCs w:val="22"/>
          <w:lang w:val="pt-BR"/>
        </w:rPr>
        <w:t xml:space="preserve">, որ պայմանագրից ծագող գույքային իրավունքների պետական գրանցման ծախսերը ենթակա են իրականացման կազմակերպության միջոցների հաշվին: </w:t>
      </w:r>
    </w:p>
    <w:p w:rsidR="00EF453D" w:rsidRDefault="00EF453D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FD1944" w:rsidRDefault="00FD1944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FD1944" w:rsidRDefault="00FD1944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FD1944" w:rsidRDefault="00FD1944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796924" w:rsidRDefault="00796924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EF453D" w:rsidRDefault="00EF453D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EF453D" w:rsidRDefault="00EF453D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EF453D" w:rsidRDefault="00EF453D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EF453D" w:rsidRDefault="00EF453D" w:rsidP="00FD1944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p w:rsidR="00681C42" w:rsidRDefault="00681C42" w:rsidP="00681C42">
      <w:pPr>
        <w:pStyle w:val="BodyText3"/>
        <w:spacing w:line="276" w:lineRule="auto"/>
        <w:jc w:val="both"/>
        <w:rPr>
          <w:rFonts w:ascii="GHEA Grapalat" w:hAnsi="GHEA Grapalat" w:cs="Arial"/>
          <w:bCs/>
          <w:kern w:val="32"/>
          <w:sz w:val="22"/>
          <w:szCs w:val="22"/>
          <w:lang w:val="pt-BR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71"/>
        <w:gridCol w:w="9959"/>
      </w:tblGrid>
      <w:tr w:rsidR="00681C42" w:rsidRPr="001C104E" w:rsidTr="00142432">
        <w:trPr>
          <w:trHeight w:val="3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lang w:val="pt-BR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Իրավական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ակտի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հիմնավորումը</w:t>
            </w:r>
            <w:r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</w:p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/«Անհատույց օգտագործման իրավունքով տարածք հանձնելու մասին»</w:t>
            </w:r>
            <w:r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ՀՀ</w:t>
            </w:r>
            <w:r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կառավարության</w:t>
            </w:r>
            <w:r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որոշման</w:t>
            </w:r>
            <w:r>
              <w:rPr>
                <w:rFonts w:ascii="GHEA Grapalat" w:hAnsi="GHEA Grapalat" w:cs="Arial Armenian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նախագ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ծ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pt-BR"/>
              </w:rPr>
              <w:t>/</w:t>
            </w:r>
          </w:p>
        </w:tc>
      </w:tr>
      <w:tr w:rsidR="00681C42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Անհրաժեշտություն</w:t>
            </w:r>
          </w:p>
        </w:tc>
      </w:tr>
      <w:tr w:rsidR="00681C42" w:rsidRPr="001C104E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երկրապահ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կամավորների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միությունը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հասարակական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ապաքաղաքական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կազմակերպություն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առաջնահերթ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նպատակներն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խնդիրներն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աջակցել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հայրենիքի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հզորացման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ժողովրդի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անվտանգության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ապահովման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գործին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օժանդակել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զինված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ուժերի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հզորացմանը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պատանիների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երիտասարդների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ռազմահայրենասիրական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դաստիարակությանը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նպաստել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հաշմանդամ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զոհված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անհայտ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կորած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ինչպես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երկրապահ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ազատամարտիկների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ընտանիքների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սոցիալ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կենցաղային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պայմանների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բարելավմանը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ցույց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նյութական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բարոյական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օգնություն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ծրագրերն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ավելի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արդյունավետ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իրականացնելու, ինչպես նաև «Երկրապահ» թերթի խմբագրության գործունեությունը ծավալելու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ԵԿՄ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վարչության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նախագահը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դիմել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առընթեր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վարչություն՝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անհատույց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օգտագործման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իրավունքով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տրամադրելու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խնդրանքով:</w:t>
            </w:r>
          </w:p>
          <w:p w:rsidR="00681C42" w:rsidRDefault="00681C42" w:rsidP="0014243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Հաշվի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առնելով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կազմակերպության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կողմից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ներկայացված փաստաթղթերը չեն բավարարում ՀՀ մշակույթի նախարարության կողմից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լրատվական միջոցների համար սահմանված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չափորոշիչներին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առընթեր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գույքի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վարչությունն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առաջնորդվելով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քաղաքացիական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օրենսգրքի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bCs/>
                <w:kern w:val="32"/>
                <w:sz w:val="20"/>
                <w:szCs w:val="20"/>
                <w:lang w:val="pt-BR"/>
              </w:rPr>
              <w:t>685-րդ, 688-</w:t>
            </w:r>
            <w:r>
              <w:rPr>
                <w:rFonts w:ascii="GHEA Grapalat" w:hAnsi="GHEA Grapalat"/>
                <w:bCs/>
                <w:kern w:val="32"/>
                <w:sz w:val="20"/>
                <w:szCs w:val="20"/>
                <w:lang w:val="pt-BR"/>
              </w:rPr>
              <w:t>րդ հոդվածներով և Հայաստանի Հանրապետության կառավարության 2011 թվականի փետրվարի 17-ի թիվ 304-Ն որոշման 3-րդ կետի 6-րդ ենթակետով սահմանված դրույթներով,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նախապատրաստել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նախագիծը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    </w:t>
            </w:r>
          </w:p>
        </w:tc>
      </w:tr>
      <w:tr w:rsidR="00681C42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Ընթացիկ իրավիճակը և խնդիրները</w:t>
            </w:r>
          </w:p>
        </w:tc>
      </w:tr>
      <w:tr w:rsidR="00681C42" w:rsidRPr="001C104E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1C42" w:rsidRPr="001C104E" w:rsidRDefault="00681C42" w:rsidP="00142432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Այսօր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Հանրապետությունում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նրա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սահմաններից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դուրս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գործում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Երկրապահ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կամավորականների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միության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73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մարզային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բաժանմունքներ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ներկայացուցչություններ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երկրապահ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կամավորների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միությունն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աջակցում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հայրենիքի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հզորացման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ժողովրդի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անվտանգության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ապահովման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գործին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օժանդակում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զինված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ուժերի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հզորացմանը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պատանիների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երիտասարդների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ռազմահայրենասիրական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դաստիարակությանը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նպաստում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հաշմանդամ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զոհված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անհայտ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կորած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երկրապահ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ազատամարտիկների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ընտանիքների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սոցիալ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կենցաղային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պայմանների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բարելավմանը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ինչպես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ցույց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տալիս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նյութական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բարոյական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օգնություն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Նշված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ծրագրերին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առավել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արդյունավետ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լուծում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տալու, ինչպես նաև «Երկրապահ» թերթի խմբագրության գործունեւոթյունը ծավալելու նպատակով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միությունն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այսօր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կարիք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ունի</w:t>
            </w:r>
            <w:r>
              <w:rPr>
                <w:rFonts w:ascii="GHEA Grapalat" w:hAnsi="GHEA Grapalat"/>
                <w:sz w:val="20"/>
                <w:szCs w:val="20"/>
              </w:rPr>
              <w:t>,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քանի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26.12.2001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1322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որոշմամբ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կազմակերպությանը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տրամադրված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Երևան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քաղաքի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Իսահակյան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28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հասցեում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գտնվող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շենքի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հարկից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70.5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քառ</w:t>
            </w:r>
            <w:r w:rsidRPr="001C104E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մետր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մակերեսով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տարածքի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անհատույց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օգտագործման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պայմանագրի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ժամկետն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ավարտվել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2012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թ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մայիսի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ին և տարածքը հանձնվել է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անհրաժեշտություն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առաջացել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շրջանառության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դնել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քաղաքի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Արշակունյաց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հասցեում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գտնվող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շենքի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րդ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հարկից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62.6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քառ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մետր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մակերեսով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ազատ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անհատույց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օգտագործման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իրավունքով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10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ժամկետով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Երկրապահ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կամավորականների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միությանը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տրամադրելու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վերաբերյալ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նախագիծը</w:t>
            </w:r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1C104E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81C42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Տվյալ բնագավառում իրականացվող քաղաքականությունը</w:t>
            </w:r>
          </w:p>
        </w:tc>
      </w:tr>
      <w:tr w:rsidR="00681C42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Իրականացվող քաղաքականության մեջ ս</w:t>
            </w:r>
            <w:r>
              <w:rPr>
                <w:rFonts w:ascii="GHEA Grapalat" w:hAnsi="GHEA Grapalat"/>
                <w:sz w:val="20"/>
                <w:szCs w:val="20"/>
              </w:rPr>
              <w:t>կզբունքային փոփոխություններ չկան:</w:t>
            </w:r>
          </w:p>
        </w:tc>
      </w:tr>
      <w:tr w:rsidR="00681C42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Կարգավորման նպատակը և բնույթը</w:t>
            </w:r>
          </w:p>
        </w:tc>
      </w:tr>
      <w:tr w:rsidR="00681C42" w:rsidRPr="001C104E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Նշված նախագծի ընդունմամբ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երկրապահ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կամավորների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միությունը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կապահովվի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տարածքով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81C42" w:rsidRPr="001C104E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Նախագծի մշակման գործընթացում ներգրավված ինստիտուտները և անձինք</w:t>
            </w:r>
          </w:p>
        </w:tc>
      </w:tr>
      <w:tr w:rsidR="00681C42" w:rsidRPr="001C104E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Նախագծի մշակմանը այլ ինստիտուտներ և անձինք չեն մասնակցել:</w:t>
            </w:r>
          </w:p>
        </w:tc>
      </w:tr>
      <w:tr w:rsidR="00681C42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Ակնկալվող արդյունքը</w:t>
            </w:r>
          </w:p>
        </w:tc>
      </w:tr>
      <w:tr w:rsidR="00681C42" w:rsidRPr="001C104E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երկրապահ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կամավորների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միությանը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համապատասխան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տարածքով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ապահո</w:t>
            </w:r>
            <w:r>
              <w:rPr>
                <w:rFonts w:ascii="GHEA Grapalat" w:hAnsi="GHEA Grapalat"/>
                <w:sz w:val="20"/>
                <w:szCs w:val="20"/>
              </w:rPr>
              <w:t>ովում:</w:t>
            </w:r>
          </w:p>
        </w:tc>
      </w:tr>
      <w:tr w:rsidR="00681C42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9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 w:cs="Arial Armenian"/>
                <w:b/>
                <w:sz w:val="20"/>
                <w:szCs w:val="20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</w:rPr>
              <w:t>Այլ տեղեկություններ</w:t>
            </w:r>
          </w:p>
        </w:tc>
      </w:tr>
      <w:tr w:rsidR="00681C42" w:rsidTr="00142432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չկան</w:t>
            </w:r>
          </w:p>
        </w:tc>
      </w:tr>
    </w:tbl>
    <w:p w:rsidR="00681C42" w:rsidRDefault="00681C42" w:rsidP="00681C42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681C42" w:rsidRDefault="00681C42" w:rsidP="00681C42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681C42" w:rsidRDefault="00681C42" w:rsidP="00681C42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10062"/>
      </w:tblGrid>
      <w:tr w:rsidR="00681C42" w:rsidRPr="001C104E" w:rsidTr="00142432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«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Անհատույց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օգտագործման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իրավունքով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տարածք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հանձնելու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մասին</w:t>
            </w: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» ՀՀ կ</w:t>
            </w:r>
            <w:r>
              <w:rPr>
                <w:rFonts w:ascii="GHEA Grapalat" w:hAnsi="GHEA Grapalat"/>
                <w:b/>
                <w:sz w:val="22"/>
                <w:szCs w:val="22"/>
              </w:rPr>
              <w:t>առավարության որոշման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81C42" w:rsidRPr="001C104E" w:rsidTr="001424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Այլ իրավական ակտերում փոփոխությունների և /կամ լրացումների անհրաժեշտությունը</w:t>
            </w:r>
          </w:p>
        </w:tc>
      </w:tr>
      <w:tr w:rsidR="00681C42" w:rsidTr="001424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չկա</w:t>
            </w:r>
          </w:p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81C42" w:rsidRPr="001C104E" w:rsidTr="001424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81C42" w:rsidTr="001424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Ս</w:t>
            </w:r>
            <w:r>
              <w:rPr>
                <w:rFonts w:ascii="GHEA Grapalat" w:hAnsi="GHEA Grapalat"/>
                <w:sz w:val="20"/>
                <w:szCs w:val="20"/>
              </w:rPr>
              <w:t>տանձնած պարտավորություններ չկան</w:t>
            </w:r>
          </w:p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81C42" w:rsidRDefault="00681C42" w:rsidP="00681C42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681C42" w:rsidRDefault="00681C42" w:rsidP="00681C42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681C42" w:rsidRDefault="00681C42" w:rsidP="00681C42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tbl>
      <w:tblPr>
        <w:tblW w:w="1053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468"/>
        <w:gridCol w:w="10062"/>
      </w:tblGrid>
      <w:tr w:rsidR="00681C42" w:rsidTr="00142432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Տեղեկանք հասարակության մասնակցության մասին</w:t>
            </w:r>
          </w:p>
          <w:p w:rsidR="00681C42" w:rsidRDefault="00681C42" w:rsidP="00142432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</w:tr>
      <w:tr w:rsidR="00681C42" w:rsidTr="001424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0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Հասարակությանը նախագծի վերաբերյալ իրազեկումը</w:t>
            </w:r>
          </w:p>
        </w:tc>
      </w:tr>
      <w:tr w:rsidR="00681C42" w:rsidRPr="001C104E" w:rsidTr="0014243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Որոշման նախագծի քննարկմանը հասարակությունը չի ներգրավվել, քանի որ այն լայն հասարակական շահերի խնդիրներ չի շոշափում:</w:t>
            </w:r>
          </w:p>
          <w:p w:rsidR="00681C42" w:rsidRDefault="00681C42" w:rsidP="00142432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81C42" w:rsidRDefault="00681C42" w:rsidP="00681C42">
      <w:pPr>
        <w:ind w:right="21" w:firstLine="540"/>
        <w:jc w:val="center"/>
        <w:rPr>
          <w:rFonts w:ascii="GHEA Grapalat" w:hAnsi="GHEA Grapalat"/>
          <w:b/>
          <w:bCs/>
          <w:color w:val="000000"/>
        </w:rPr>
      </w:pPr>
    </w:p>
    <w:p w:rsidR="00681C42" w:rsidRPr="001C104E" w:rsidRDefault="00681C42" w:rsidP="00681C42">
      <w:pPr>
        <w:spacing w:line="360" w:lineRule="auto"/>
        <w:ind w:right="-95" w:firstLine="540"/>
        <w:jc w:val="both"/>
        <w:rPr>
          <w:rFonts w:ascii="GHEA Grapalat" w:hAnsi="GHEA Grapalat"/>
        </w:rPr>
      </w:pPr>
    </w:p>
    <w:p w:rsidR="00681C42" w:rsidRDefault="00681C42" w:rsidP="00681C42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 xml:space="preserve">Տ Ե Ղ Ե Կ Ա Ն Ք </w:t>
      </w:r>
    </w:p>
    <w:p w:rsidR="00681C42" w:rsidRDefault="00681C42" w:rsidP="00681C42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</w:pPr>
    </w:p>
    <w:p w:rsidR="00681C42" w:rsidRDefault="00681C42" w:rsidP="00681C42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Անհատույց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օգտագործման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իրավունքով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տարածք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հանձնելու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մասին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» Հայաստանի Հանրապետության կառավարության որոշման նախագծի ընդունման կապակցությամբ պետական կամ տեղական ինքնակառավարման մարմինների բյուջեում ծախսերի և եկամուտների էական ավելացման կամ նվազեցման վերաբերյալ</w:t>
      </w:r>
    </w:p>
    <w:p w:rsidR="00681C42" w:rsidRDefault="00681C42" w:rsidP="00681C42">
      <w:pPr>
        <w:pStyle w:val="Header"/>
        <w:tabs>
          <w:tab w:val="right" w:pos="9720"/>
        </w:tabs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</w:pPr>
    </w:p>
    <w:p w:rsidR="00681C42" w:rsidRDefault="00681C42" w:rsidP="00681C42">
      <w:pPr>
        <w:pStyle w:val="Header"/>
        <w:ind w:left="720" w:hanging="177"/>
        <w:jc w:val="center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</w:pPr>
    </w:p>
    <w:p w:rsidR="00681C42" w:rsidRDefault="00681C42" w:rsidP="00681C42">
      <w:pPr>
        <w:pStyle w:val="Header"/>
        <w:spacing w:line="360" w:lineRule="auto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</w:pP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 xml:space="preserve">          «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  <w:t>Անհատույց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  <w:t>օգտագործման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  <w:t>իրավունքով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  <w:t>տարածք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  <w:t>հանձնելու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  <w:t>մասին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>»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 xml:space="preserve"> </w:t>
      </w:r>
      <w:r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ru-RU" w:eastAsia="ru-RU"/>
        </w:rPr>
        <w:t>Հայաստանի Հանրապետության կառավարության որոշման նախագծի ընդունման կապակցությամբ ՀՀ պետական բյուջեում ծախսերի և եկամուտների էական ավելացում կամ նվազեցում չի նախատեսվում:</w:t>
      </w:r>
    </w:p>
    <w:p w:rsidR="007C4E64" w:rsidRDefault="007C4E64" w:rsidP="00681C42">
      <w:pPr>
        <w:pStyle w:val="Header"/>
        <w:spacing w:line="360" w:lineRule="auto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</w:pPr>
    </w:p>
    <w:p w:rsidR="007C4E64" w:rsidRDefault="007C4E64" w:rsidP="00681C42">
      <w:pPr>
        <w:pStyle w:val="Header"/>
        <w:spacing w:line="360" w:lineRule="auto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</w:pPr>
    </w:p>
    <w:p w:rsidR="007C4E64" w:rsidRPr="007C4E64" w:rsidRDefault="007C4E64" w:rsidP="00681C42">
      <w:pPr>
        <w:pStyle w:val="Header"/>
        <w:spacing w:line="360" w:lineRule="auto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eastAsia="ru-RU"/>
        </w:rPr>
      </w:pPr>
    </w:p>
    <w:p w:rsidR="00681C42" w:rsidRDefault="00681C42" w:rsidP="00681C42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681C42" w:rsidRDefault="00681C42" w:rsidP="00681C42">
      <w:pPr>
        <w:jc w:val="center"/>
        <w:rPr>
          <w:rFonts w:ascii="GHEA Grapalat" w:hAnsi="GHEA Grapalat" w:cs="Arial Armenian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681C42" w:rsidRDefault="00681C42" w:rsidP="00681C42">
      <w:pPr>
        <w:jc w:val="center"/>
        <w:rPr>
          <w:rFonts w:ascii="GHEA Grapalat" w:hAnsi="GHEA Grapalat"/>
          <w:b/>
          <w:w w:val="150"/>
          <w:sz w:val="20"/>
          <w:szCs w:val="20"/>
          <w:lang w:val="pt-BR"/>
        </w:rPr>
      </w:pPr>
      <w:r>
        <w:rPr>
          <w:rFonts w:ascii="GHEA Grapalat" w:hAnsi="GHEA Grapalat"/>
          <w:b/>
          <w:sz w:val="20"/>
          <w:szCs w:val="20"/>
          <w:lang w:val="fr-FR"/>
        </w:rPr>
        <w:t xml:space="preserve">«Անհատույց օգտագործման իրավունքով տարածք հանձնելու մասին» </w:t>
      </w:r>
      <w:r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ՀՀ</w:t>
      </w:r>
      <w:r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կառավարության</w:t>
      </w:r>
      <w:r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որոշման</w:t>
      </w:r>
      <w:r>
        <w:rPr>
          <w:rFonts w:ascii="GHEA Grapalat" w:hAnsi="GHEA Grapalat" w:cs="Arial Armenian"/>
          <w:b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նախագծ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ի</w:t>
      </w:r>
      <w:r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վերաբերյալ</w:t>
      </w:r>
      <w:r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շահագրգիռ</w:t>
      </w:r>
      <w:r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նախարարություններից</w:t>
      </w:r>
      <w:r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ստացված</w:t>
      </w:r>
      <w:r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առարկությունների</w:t>
      </w:r>
      <w:r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և</w:t>
      </w:r>
      <w:r>
        <w:rPr>
          <w:rFonts w:ascii="GHEA Grapalat" w:hAnsi="GHEA Grapalat"/>
          <w:b/>
          <w:bCs/>
          <w:color w:val="000000"/>
          <w:sz w:val="20"/>
          <w:szCs w:val="20"/>
          <w:lang w:val="pt-BR"/>
        </w:rPr>
        <w:t xml:space="preserve"> առաջարկությունների վերաբերյալ</w:t>
      </w:r>
      <w:r>
        <w:rPr>
          <w:rFonts w:ascii="GHEA Grapalat" w:hAnsi="GHEA Grapalat"/>
          <w:b/>
          <w:w w:val="150"/>
          <w:sz w:val="20"/>
          <w:szCs w:val="20"/>
          <w:lang w:val="pt-BR"/>
        </w:rPr>
        <w:t xml:space="preserve"> </w:t>
      </w:r>
    </w:p>
    <w:p w:rsidR="00681C42" w:rsidRDefault="00681C42" w:rsidP="00681C42">
      <w:pPr>
        <w:pStyle w:val="BodyText"/>
        <w:tabs>
          <w:tab w:val="left" w:pos="5360"/>
        </w:tabs>
        <w:jc w:val="center"/>
        <w:rPr>
          <w:rFonts w:ascii="GHEA Grapalat" w:hAnsi="GHEA Grapalat"/>
          <w:kern w:val="16"/>
          <w:sz w:val="18"/>
          <w:szCs w:val="18"/>
          <w:lang w:val="pt-BR"/>
        </w:rPr>
      </w:pPr>
    </w:p>
    <w:tbl>
      <w:tblPr>
        <w:tblW w:w="11070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430"/>
        <w:gridCol w:w="3690"/>
        <w:gridCol w:w="2880"/>
        <w:gridCol w:w="2070"/>
      </w:tblGrid>
      <w:tr w:rsidR="00681C42" w:rsidTr="00142432">
        <w:trPr>
          <w:trHeight w:val="578"/>
        </w:trPr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1C42" w:rsidRDefault="00681C42" w:rsidP="00142432">
            <w:pPr>
              <w:pStyle w:val="BodyText"/>
              <w:tabs>
                <w:tab w:val="left" w:pos="2592"/>
              </w:tabs>
              <w:spacing w:line="276" w:lineRule="auto"/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681C42" w:rsidRDefault="00681C42" w:rsidP="00142432">
            <w:pPr>
              <w:pStyle w:val="BodyText"/>
              <w:tabs>
                <w:tab w:val="left" w:pos="2592"/>
              </w:tabs>
              <w:spacing w:line="276" w:lineRule="auto"/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681C42" w:rsidRDefault="00681C42" w:rsidP="00142432">
            <w:pPr>
              <w:pStyle w:val="BodyText"/>
              <w:tabs>
                <w:tab w:val="left" w:pos="2592"/>
              </w:tabs>
              <w:spacing w:line="276" w:lineRule="auto"/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681C42" w:rsidRDefault="00681C42" w:rsidP="00142432">
            <w:pPr>
              <w:pStyle w:val="BodyText"/>
              <w:tabs>
                <w:tab w:val="left" w:pos="2592"/>
              </w:tabs>
              <w:spacing w:line="276" w:lineRule="auto"/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681C42" w:rsidTr="00142432">
        <w:trPr>
          <w:trHeight w:val="351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681C42" w:rsidRPr="001C104E" w:rsidTr="00142432">
        <w:trPr>
          <w:trHeight w:val="705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ֆինանսների նախարարություն        29.11.12թ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                             </w:t>
            </w:r>
            <w:r>
              <w:rPr>
                <w:rFonts w:ascii="GHEA Grapalat" w:hAnsi="GHEA Grapalat"/>
                <w:sz w:val="18"/>
                <w:szCs w:val="18"/>
              </w:rPr>
              <w:t>թիվ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1/4.5-4/15513-12</w:t>
            </w: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ԿԱ անշարժ գույքի կադաստրի պետական կոմիտե 29.11.12թ. </w:t>
            </w: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թիվ ԱՄ/7.2/7404-12</w:t>
            </w: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արդարադատության նախարարություն 25.12.12թ. թիվ 01/8045-12</w:t>
            </w: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lastRenderedPageBreak/>
              <w:t>1.Առաջարկվել է որոշման նախագծի 1-ին կետում նշել ամրացվող գույքի արժեքը:</w:t>
            </w: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1.Որոշման նախագծի վերաբերյալ առաջարկություններ և առարկություններ չկան:</w:t>
            </w: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  <w:t>1.Որոշման նախագծի վերաբերյալ առաջարկություններ չկան:</w:t>
            </w: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spacing w:line="276" w:lineRule="auto"/>
              <w:ind w:firstLine="546"/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spacing w:line="276" w:lineRule="auto"/>
              <w:ind w:firstLine="546"/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spacing w:line="276" w:lineRule="auto"/>
              <w:ind w:firstLine="546"/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spacing w:line="276" w:lineRule="auto"/>
              <w:ind w:firstLine="546"/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spacing w:line="276" w:lineRule="auto"/>
              <w:ind w:firstLine="546"/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spacing w:line="276" w:lineRule="auto"/>
              <w:ind w:firstLine="546"/>
              <w:jc w:val="both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kern w:val="16"/>
                <w:sz w:val="20"/>
                <w:lang w:val="nb-N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  <w:lastRenderedPageBreak/>
              <w:t xml:space="preserve">                   </w:t>
            </w: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  <w:t>Ընդունվել է</w:t>
            </w: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b/>
                <w:kern w:val="16"/>
                <w:sz w:val="18"/>
                <w:szCs w:val="18"/>
                <w:lang w:val="pt-BR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81C42" w:rsidRDefault="00681C42" w:rsidP="001424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  <w:lastRenderedPageBreak/>
              <w:t>Որոշման նախագծի  1-ին կետում նշվել է անհատույց օգտագործման իրավունքով հանձնվող գույքի սկզբնական արժեքը:</w:t>
            </w: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  <w:p w:rsidR="00681C42" w:rsidRDefault="00681C42" w:rsidP="00142432">
            <w:pPr>
              <w:pStyle w:val="BodyText"/>
              <w:spacing w:line="276" w:lineRule="auto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</w:tc>
      </w:tr>
    </w:tbl>
    <w:p w:rsidR="00681C42" w:rsidRDefault="00681C42" w:rsidP="00681C42">
      <w:pPr>
        <w:spacing w:line="360" w:lineRule="auto"/>
        <w:ind w:right="-95" w:firstLine="540"/>
        <w:jc w:val="both"/>
        <w:rPr>
          <w:rFonts w:ascii="GHEA Grapalat" w:hAnsi="GHEA Grapalat"/>
          <w:lang w:val="pt-BR"/>
        </w:rPr>
      </w:pPr>
    </w:p>
    <w:p w:rsidR="00681C42" w:rsidRPr="001C104E" w:rsidRDefault="00681C42" w:rsidP="00681C42">
      <w:pPr>
        <w:rPr>
          <w:lang w:val="pt-BR"/>
        </w:rPr>
      </w:pPr>
    </w:p>
    <w:p w:rsidR="000459E2" w:rsidRDefault="000459E2"/>
    <w:sectPr w:rsidR="000459E2" w:rsidSect="00FD1944">
      <w:pgSz w:w="12240" w:h="15840"/>
      <w:pgMar w:top="45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425BB"/>
    <w:multiLevelType w:val="hybridMultilevel"/>
    <w:tmpl w:val="1ED66D7A"/>
    <w:lvl w:ilvl="0" w:tplc="851E38D8">
      <w:start w:val="1"/>
      <w:numFmt w:val="decimal"/>
      <w:lvlText w:val="%1."/>
      <w:lvlJc w:val="left"/>
      <w:pPr>
        <w:ind w:left="1065" w:hanging="7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1944"/>
    <w:rsid w:val="000123A4"/>
    <w:rsid w:val="000459E2"/>
    <w:rsid w:val="000501FF"/>
    <w:rsid w:val="00363770"/>
    <w:rsid w:val="00436100"/>
    <w:rsid w:val="005E7A9E"/>
    <w:rsid w:val="00681C42"/>
    <w:rsid w:val="00796924"/>
    <w:rsid w:val="007C4E64"/>
    <w:rsid w:val="00930125"/>
    <w:rsid w:val="00B017D7"/>
    <w:rsid w:val="00D63811"/>
    <w:rsid w:val="00EB4A3E"/>
    <w:rsid w:val="00EF453D"/>
    <w:rsid w:val="00F767CD"/>
    <w:rsid w:val="00FD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4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FD1944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FD1944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BodyText">
    <w:name w:val="Body Text"/>
    <w:basedOn w:val="Normal"/>
    <w:link w:val="BodyTextChar"/>
    <w:rsid w:val="00FD19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194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rsid w:val="00FD1944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FD1944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98BE-AD55-4633-9BF2-F60D1B2C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AnjelikaKh</cp:lastModifiedBy>
  <cp:revision>8</cp:revision>
  <dcterms:created xsi:type="dcterms:W3CDTF">2013-03-18T10:03:00Z</dcterms:created>
  <dcterms:modified xsi:type="dcterms:W3CDTF">2013-04-22T10:57:00Z</dcterms:modified>
</cp:coreProperties>
</file>