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565" w:rsidRPr="003F0E8E" w:rsidRDefault="00AB0565" w:rsidP="00AB0565">
      <w:pPr>
        <w:spacing w:after="0" w:line="360" w:lineRule="auto"/>
        <w:jc w:val="center"/>
        <w:rPr>
          <w:rFonts w:ascii="GHEA Grapalat" w:hAnsi="GHEA Grapalat" w:cs="Sylfaen"/>
          <w:b/>
          <w:lang w:val="hy-AM"/>
        </w:rPr>
      </w:pPr>
      <w:r w:rsidRPr="003F0E8E">
        <w:rPr>
          <w:rFonts w:ascii="GHEA Grapalat" w:hAnsi="GHEA Grapalat" w:cs="Sylfaen"/>
          <w:b/>
        </w:rPr>
        <w:t>ՏԵՂԵԿԱՆՔ</w:t>
      </w:r>
    </w:p>
    <w:p w:rsidR="00AB0565" w:rsidRPr="003F0E8E" w:rsidRDefault="00B953D0" w:rsidP="00AB0565">
      <w:pPr>
        <w:spacing w:after="0" w:line="360" w:lineRule="auto"/>
        <w:jc w:val="center"/>
        <w:rPr>
          <w:rFonts w:ascii="GHEA Grapalat" w:hAnsi="GHEA Grapalat"/>
          <w:b/>
          <w:lang w:val="hy-AM"/>
        </w:rPr>
      </w:pPr>
      <w:r w:rsidRPr="003F0E8E">
        <w:rPr>
          <w:rFonts w:ascii="GHEA Grapalat" w:hAnsi="GHEA Grapalat"/>
          <w:b/>
          <w:lang w:val="hy-AM"/>
        </w:rPr>
        <w:t>«Տեր-Սարգսյանն ընդդեմ Հայաստանի»</w:t>
      </w:r>
      <w:r w:rsidR="00AB0565" w:rsidRPr="003F0E8E">
        <w:rPr>
          <w:rFonts w:ascii="GHEA Grapalat" w:hAnsi="GHEA Grapalat"/>
          <w:b/>
          <w:lang w:val="hy-AM"/>
        </w:rPr>
        <w:t xml:space="preserve"> </w:t>
      </w:r>
      <w:r w:rsidRPr="003F0E8E">
        <w:rPr>
          <w:rFonts w:ascii="GHEA Grapalat" w:hAnsi="GHEA Grapalat"/>
          <w:b/>
          <w:lang w:val="hy-AM"/>
        </w:rPr>
        <w:t xml:space="preserve">թիվ 27866/10 գործով </w:t>
      </w:r>
    </w:p>
    <w:p w:rsidR="00FB7064" w:rsidRPr="003F0E8E" w:rsidRDefault="00B953D0" w:rsidP="00AB0565">
      <w:pPr>
        <w:spacing w:after="0" w:line="360" w:lineRule="auto"/>
        <w:jc w:val="center"/>
        <w:rPr>
          <w:rFonts w:ascii="GHEA Grapalat" w:hAnsi="GHEA Grapalat"/>
          <w:b/>
          <w:lang w:val="hy-AM"/>
        </w:rPr>
      </w:pPr>
      <w:r w:rsidRPr="003F0E8E">
        <w:rPr>
          <w:rFonts w:ascii="GHEA Grapalat" w:hAnsi="GHEA Grapalat"/>
          <w:b/>
          <w:lang w:val="hy-AM"/>
        </w:rPr>
        <w:t>Մարդու իրավունքների եվրոպական դատարանի կայացրած վճռի վերաբերյալ</w:t>
      </w:r>
    </w:p>
    <w:p w:rsidR="00B953D0" w:rsidRPr="003F0E8E" w:rsidRDefault="00B953D0" w:rsidP="00B953D0">
      <w:pPr>
        <w:spacing w:after="0" w:line="360" w:lineRule="auto"/>
        <w:contextualSpacing/>
        <w:jc w:val="both"/>
        <w:rPr>
          <w:rFonts w:ascii="GHEA Grapalat" w:hAnsi="GHEA Grapalat"/>
          <w:b/>
          <w:lang w:val="hy-AM"/>
        </w:rPr>
      </w:pPr>
    </w:p>
    <w:p w:rsidR="00AB0565" w:rsidRPr="003F0E8E" w:rsidRDefault="00AB0565" w:rsidP="00B953D0">
      <w:pPr>
        <w:spacing w:after="0" w:line="360" w:lineRule="auto"/>
        <w:contextualSpacing/>
        <w:jc w:val="both"/>
        <w:rPr>
          <w:rFonts w:ascii="GHEA Grapalat" w:hAnsi="GHEA Grapalat"/>
          <w:b/>
          <w:lang w:val="hy-AM"/>
        </w:rPr>
      </w:pPr>
    </w:p>
    <w:p w:rsidR="00AB0565" w:rsidRPr="003F0E8E" w:rsidRDefault="00596D97" w:rsidP="00F80ED5">
      <w:pPr>
        <w:spacing w:after="0" w:line="360" w:lineRule="auto"/>
        <w:ind w:firstLine="630"/>
        <w:contextualSpacing/>
        <w:rPr>
          <w:rFonts w:ascii="GHEA Grapalat" w:hAnsi="GHEA Grapalat"/>
          <w:b/>
          <w:lang w:val="hy-AM"/>
        </w:rPr>
      </w:pPr>
      <w:r w:rsidRPr="003F0E8E">
        <w:rPr>
          <w:rFonts w:ascii="GHEA Grapalat" w:hAnsi="GHEA Grapalat"/>
          <w:b/>
          <w:lang w:val="hy-AM"/>
        </w:rPr>
        <w:t>Գործի ելակետային տվյալները</w:t>
      </w:r>
    </w:p>
    <w:p w:rsidR="00596D97" w:rsidRPr="003F0E8E" w:rsidRDefault="00AB0565" w:rsidP="00B953D0">
      <w:pPr>
        <w:spacing w:after="0" w:line="360" w:lineRule="auto"/>
        <w:ind w:firstLine="630"/>
        <w:contextualSpacing/>
        <w:jc w:val="both"/>
        <w:rPr>
          <w:rFonts w:ascii="GHEA Grapalat" w:hAnsi="GHEA Grapalat"/>
          <w:lang w:val="hy-AM"/>
        </w:rPr>
      </w:pPr>
      <w:r w:rsidRPr="003F0E8E">
        <w:rPr>
          <w:rFonts w:ascii="GHEA Grapalat" w:hAnsi="GHEA Grapalat"/>
          <w:lang w:val="hy-AM"/>
        </w:rPr>
        <w:t>Մարդու իրավունքների եվրոպական դատարանը</w:t>
      </w:r>
      <w:r w:rsidR="00D67D20" w:rsidRPr="003F0E8E">
        <w:rPr>
          <w:rFonts w:ascii="GHEA Grapalat" w:hAnsi="GHEA Grapalat"/>
          <w:lang w:val="hy-AM"/>
        </w:rPr>
        <w:t xml:space="preserve"> (այսուհետ՝ Եվրոպական դատարան կամ Դատարան)</w:t>
      </w:r>
      <w:r w:rsidRPr="003F0E8E">
        <w:rPr>
          <w:rFonts w:ascii="GHEA Grapalat" w:hAnsi="GHEA Grapalat"/>
          <w:lang w:val="hy-AM"/>
        </w:rPr>
        <w:t xml:space="preserve"> 2016 թվականի հոկտեմբերի 27-ին հրապարակել է «Տեր-Սարգսյանն ընդդեմ </w:t>
      </w:r>
      <w:r w:rsidR="00222B51" w:rsidRPr="003F0E8E">
        <w:rPr>
          <w:rFonts w:ascii="GHEA Grapalat" w:hAnsi="GHEA Grapalat"/>
          <w:lang w:val="hy-AM"/>
        </w:rPr>
        <w:t>Հայաս</w:t>
      </w:r>
      <w:r w:rsidRPr="003F0E8E">
        <w:rPr>
          <w:rFonts w:ascii="GHEA Grapalat" w:hAnsi="GHEA Grapalat"/>
          <w:lang w:val="hy-AM"/>
        </w:rPr>
        <w:t>տ</w:t>
      </w:r>
      <w:r w:rsidR="00222B51" w:rsidRPr="003F0E8E">
        <w:rPr>
          <w:rFonts w:ascii="GHEA Grapalat" w:hAnsi="GHEA Grapalat"/>
          <w:lang w:val="hy-AM"/>
        </w:rPr>
        <w:t>ա</w:t>
      </w:r>
      <w:r w:rsidRPr="003F0E8E">
        <w:rPr>
          <w:rFonts w:ascii="GHEA Grapalat" w:hAnsi="GHEA Grapalat"/>
          <w:lang w:val="hy-AM"/>
        </w:rPr>
        <w:t xml:space="preserve">նի» </w:t>
      </w:r>
      <w:r w:rsidR="00F80ED5" w:rsidRPr="003F0E8E">
        <w:rPr>
          <w:rFonts w:ascii="GHEA Grapalat" w:hAnsi="GHEA Grapalat"/>
          <w:lang w:val="hy-AM"/>
        </w:rPr>
        <w:t>գործով վճիռը</w:t>
      </w:r>
      <w:r w:rsidRPr="003F0E8E">
        <w:rPr>
          <w:rFonts w:ascii="GHEA Grapalat" w:hAnsi="GHEA Grapalat"/>
          <w:lang w:val="hy-AM"/>
        </w:rPr>
        <w:t xml:space="preserve">, որով </w:t>
      </w:r>
      <w:r w:rsidR="00B953D0" w:rsidRPr="003F0E8E">
        <w:rPr>
          <w:rFonts w:ascii="GHEA Grapalat" w:hAnsi="GHEA Grapalat"/>
          <w:lang w:val="hy-AM"/>
        </w:rPr>
        <w:t xml:space="preserve">արձանագրել է </w:t>
      </w:r>
      <w:r w:rsidR="00D67D20" w:rsidRPr="003F0E8E">
        <w:rPr>
          <w:rFonts w:ascii="GHEA Grapalat" w:hAnsi="GHEA Grapalat"/>
          <w:lang w:val="hy-AM"/>
        </w:rPr>
        <w:t xml:space="preserve">Մարդու իրավունքների եվրոպական կոնվենցիայի (այսուհետ՝ Կոնվենցիա) </w:t>
      </w:r>
      <w:r w:rsidR="00F80ED5" w:rsidRPr="003F0E8E">
        <w:rPr>
          <w:rFonts w:ascii="GHEA Grapalat" w:hAnsi="GHEA Grapalat"/>
          <w:lang w:val="hy-AM"/>
        </w:rPr>
        <w:t>6-րդ հոդվածի 1-ին կետի խախտում՝ զուգակցված 6-րդ հոդվածի 3-րդ կետի «դ» ենթակետի հետ, քանի որ դիմումատուն հնարավորություն չի ունեցել հարցման ենթարկելու իր դեմ ցուցմունք տված վկաներին:</w:t>
      </w:r>
    </w:p>
    <w:p w:rsidR="00F80ED5" w:rsidRPr="003F0E8E" w:rsidRDefault="00F80ED5" w:rsidP="00801BCD">
      <w:pPr>
        <w:spacing w:after="0" w:line="360" w:lineRule="auto"/>
        <w:ind w:firstLine="540"/>
        <w:contextualSpacing/>
        <w:rPr>
          <w:rFonts w:ascii="GHEA Grapalat" w:hAnsi="GHEA Grapalat"/>
          <w:b/>
          <w:lang w:val="hy-AM"/>
        </w:rPr>
      </w:pPr>
    </w:p>
    <w:p w:rsidR="00596D97" w:rsidRPr="003F0E8E" w:rsidRDefault="00F80ED5" w:rsidP="00801BCD">
      <w:pPr>
        <w:spacing w:after="0" w:line="360" w:lineRule="auto"/>
        <w:ind w:firstLine="540"/>
        <w:contextualSpacing/>
        <w:rPr>
          <w:rFonts w:ascii="GHEA Grapalat" w:hAnsi="GHEA Grapalat"/>
          <w:b/>
          <w:lang w:val="hy-AM"/>
        </w:rPr>
      </w:pPr>
      <w:r w:rsidRPr="003F0E8E">
        <w:rPr>
          <w:rFonts w:ascii="GHEA Grapalat" w:hAnsi="GHEA Grapalat"/>
          <w:b/>
          <w:lang w:val="hy-AM"/>
        </w:rPr>
        <w:t>Գործի փ</w:t>
      </w:r>
      <w:r w:rsidR="00596D97" w:rsidRPr="003F0E8E">
        <w:rPr>
          <w:rFonts w:ascii="GHEA Grapalat" w:hAnsi="GHEA Grapalat"/>
          <w:b/>
          <w:lang w:val="hy-AM"/>
        </w:rPr>
        <w:t>աստական հանգամանքները</w:t>
      </w:r>
    </w:p>
    <w:p w:rsidR="00F80ED5" w:rsidRPr="003F0E8E" w:rsidRDefault="00F80ED5" w:rsidP="00F80ED5">
      <w:pPr>
        <w:spacing w:after="0" w:line="360" w:lineRule="auto"/>
        <w:ind w:firstLine="547"/>
        <w:jc w:val="both"/>
        <w:rPr>
          <w:rFonts w:ascii="GHEA Grapalat" w:hAnsi="GHEA Grapalat"/>
          <w:lang w:val="hy-AM"/>
        </w:rPr>
      </w:pPr>
      <w:r w:rsidRPr="003F0E8E">
        <w:rPr>
          <w:rFonts w:ascii="GHEA Grapalat" w:eastAsia="Calibri" w:hAnsi="GHEA Grapalat" w:cs="Times New Roman"/>
          <w:lang w:val="hy-AM"/>
        </w:rPr>
        <w:t xml:space="preserve">Դիմումատուի նկատմամբ քրեական հետապնդում է իրականացվել Ղազախստանում 2000 թվականի հոկտեմբերին կատարված սպանության համար: </w:t>
      </w:r>
    </w:p>
    <w:p w:rsidR="00F80ED5" w:rsidRPr="003F0E8E" w:rsidRDefault="00F80ED5" w:rsidP="00F80ED5">
      <w:pPr>
        <w:spacing w:after="0" w:line="360" w:lineRule="auto"/>
        <w:ind w:firstLine="547"/>
        <w:jc w:val="both"/>
        <w:rPr>
          <w:rFonts w:ascii="GHEA Grapalat" w:hAnsi="GHEA Grapalat"/>
          <w:lang w:val="hy-AM"/>
        </w:rPr>
      </w:pPr>
      <w:r w:rsidRPr="003F0E8E">
        <w:rPr>
          <w:rFonts w:ascii="GHEA Grapalat" w:eastAsia="Calibri" w:hAnsi="GHEA Grapalat" w:cs="Times New Roman"/>
          <w:lang w:val="hy-AM"/>
        </w:rPr>
        <w:t xml:space="preserve">2004 թվականի հունվարի 21-ին Ղազախստանի իրավապահ մարմինների կողմից դիմումատուին սպանության համար մեղադրանք է առաջադրվել: </w:t>
      </w:r>
    </w:p>
    <w:p w:rsidR="00F80ED5" w:rsidRPr="003F0E8E" w:rsidRDefault="00F80ED5" w:rsidP="00F80ED5">
      <w:pPr>
        <w:spacing w:after="0" w:line="360" w:lineRule="auto"/>
        <w:ind w:firstLine="547"/>
        <w:jc w:val="both"/>
        <w:rPr>
          <w:rFonts w:ascii="GHEA Grapalat" w:hAnsi="GHEA Grapalat"/>
          <w:lang w:val="hy-AM"/>
        </w:rPr>
      </w:pPr>
      <w:r w:rsidRPr="003F0E8E">
        <w:rPr>
          <w:rFonts w:ascii="GHEA Grapalat" w:eastAsia="Calibri" w:hAnsi="GHEA Grapalat" w:cs="Times New Roman"/>
          <w:lang w:val="hy-AM"/>
        </w:rPr>
        <w:t xml:space="preserve">2004 թվականի նոյեմբերի 5-ին դիմումատուն ձերբակալվել է ՀՀ-ում: </w:t>
      </w:r>
    </w:p>
    <w:p w:rsidR="00F80ED5" w:rsidRPr="003F0E8E" w:rsidRDefault="00F80ED5" w:rsidP="00F80ED5">
      <w:pPr>
        <w:spacing w:after="0" w:line="360" w:lineRule="auto"/>
        <w:ind w:firstLine="547"/>
        <w:jc w:val="both"/>
        <w:rPr>
          <w:rFonts w:ascii="GHEA Grapalat" w:hAnsi="GHEA Grapalat"/>
          <w:lang w:val="hy-AM"/>
        </w:rPr>
      </w:pPr>
      <w:r w:rsidRPr="003F0E8E">
        <w:rPr>
          <w:rFonts w:ascii="GHEA Grapalat" w:eastAsia="Calibri" w:hAnsi="GHEA Grapalat" w:cs="Times New Roman"/>
          <w:lang w:val="hy-AM"/>
        </w:rPr>
        <w:t xml:space="preserve">2006 թվականի մայիսին նրա հանցակիցը Ղազախստանում դատապարտվել է: </w:t>
      </w:r>
    </w:p>
    <w:p w:rsidR="00F80ED5" w:rsidRPr="003F0E8E" w:rsidRDefault="00F80ED5" w:rsidP="00F80ED5">
      <w:pPr>
        <w:spacing w:after="0" w:line="360" w:lineRule="auto"/>
        <w:ind w:firstLine="547"/>
        <w:jc w:val="both"/>
        <w:rPr>
          <w:rFonts w:ascii="GHEA Grapalat" w:hAnsi="GHEA Grapalat"/>
          <w:lang w:val="hy-AM"/>
        </w:rPr>
      </w:pPr>
      <w:r w:rsidRPr="003F0E8E">
        <w:rPr>
          <w:rFonts w:ascii="GHEA Grapalat" w:eastAsia="Calibri" w:hAnsi="GHEA Grapalat" w:cs="Times New Roman"/>
          <w:lang w:val="hy-AM"/>
        </w:rPr>
        <w:t>Գործի դատական քննության ընթացքում դիմումատուն պահանջել է իրեն հնարավորություն ընձեռել հարցաքննել իր դեմ Ղազախստանում ցուցմունք տված 11 վկաներին: Կառավարության պնդումների համաձայն՝ բոլոր 11 վկաներին ուղարկվել են դատական ծանուցագրեր: Նրանցից երեքի հետ հնարավոր չի եղել կապ հաստատել, իսկ մյուսները տեղեկացրել են, որ չեն կարող ներկայանալ դատական նիստին: Բացի այդ, դատական քննության ընթացքում դիմումատուն միջնորդել է դատարանում հետազոտել դեպքի վայրի տեսաձայնագրությունները, ինչը մերժվել է դատարանի</w:t>
      </w:r>
      <w:r w:rsidR="00D67D20" w:rsidRPr="003F0E8E">
        <w:rPr>
          <w:rFonts w:ascii="GHEA Grapalat" w:hAnsi="GHEA Grapalat"/>
          <w:lang w:val="hy-AM"/>
        </w:rPr>
        <w:t xml:space="preserve"> կողմից</w:t>
      </w:r>
      <w:r w:rsidRPr="003F0E8E">
        <w:rPr>
          <w:rFonts w:ascii="GHEA Grapalat" w:eastAsia="Calibri" w:hAnsi="GHEA Grapalat" w:cs="Times New Roman"/>
          <w:lang w:val="hy-AM"/>
        </w:rPr>
        <w:t xml:space="preserve">: </w:t>
      </w:r>
    </w:p>
    <w:p w:rsidR="00F80ED5" w:rsidRPr="003F0E8E" w:rsidRDefault="00F80ED5" w:rsidP="00F80ED5">
      <w:pPr>
        <w:spacing w:after="0" w:line="360" w:lineRule="auto"/>
        <w:ind w:firstLine="547"/>
        <w:jc w:val="both"/>
        <w:rPr>
          <w:rFonts w:ascii="GHEA Grapalat" w:eastAsia="Calibri" w:hAnsi="GHEA Grapalat" w:cs="Times New Roman"/>
          <w:lang w:val="hy-AM"/>
        </w:rPr>
      </w:pPr>
      <w:r w:rsidRPr="003F0E8E">
        <w:rPr>
          <w:rFonts w:ascii="GHEA Grapalat" w:eastAsia="Calibri" w:hAnsi="GHEA Grapalat" w:cs="Times New Roman"/>
          <w:lang w:val="hy-AM"/>
        </w:rPr>
        <w:t xml:space="preserve">Առաջին ատյանի դատարանի դատավճռով դիմումատուն մեղավոր է ճանաչվել սպանության համար և դատապարտվել 14 տարի ազատազրկման: Նրա մեղքը </w:t>
      </w:r>
      <w:r w:rsidRPr="003F0E8E">
        <w:rPr>
          <w:rFonts w:ascii="GHEA Grapalat" w:eastAsia="Calibri" w:hAnsi="GHEA Grapalat" w:cs="Times New Roman"/>
          <w:lang w:val="hy-AM"/>
        </w:rPr>
        <w:lastRenderedPageBreak/>
        <w:t xml:space="preserve">հիմնավորելիս առաջին ատյանի դատարանը հիմնվել է վերոգրյալ ցուցմունքների և տեսաձայնագրությունների վրա: </w:t>
      </w:r>
    </w:p>
    <w:p w:rsidR="00801BCD" w:rsidRPr="003F0E8E" w:rsidRDefault="00F80ED5" w:rsidP="00F80ED5">
      <w:pPr>
        <w:spacing w:after="240" w:line="360" w:lineRule="auto"/>
        <w:ind w:firstLine="547"/>
        <w:jc w:val="both"/>
        <w:rPr>
          <w:rFonts w:ascii="GHEA Grapalat" w:hAnsi="GHEA Grapalat"/>
          <w:lang w:val="hy-AM"/>
        </w:rPr>
      </w:pPr>
      <w:r w:rsidRPr="003F0E8E">
        <w:rPr>
          <w:rFonts w:ascii="GHEA Grapalat" w:eastAsia="Calibri" w:hAnsi="GHEA Grapalat" w:cs="Times New Roman"/>
          <w:lang w:val="hy-AM"/>
        </w:rPr>
        <w:t>Դիմումատուի վերաքննիչ և վճռաբեկ բողոքները մերժվել են: Վերաքննիչ դատարանն արձանագրել է, որ վկաները դատական քննության վերաբերյալ պատշաճ կերպով ծանուցվել են, սակայն ֆինանսական միջոցների բացակայության, ընտանեկան կամ աշխատանքային հանգամանքների պատճառներով</w:t>
      </w:r>
      <w:r w:rsidRPr="003F0E8E" w:rsidDel="005E3B87">
        <w:rPr>
          <w:rFonts w:ascii="GHEA Grapalat" w:eastAsia="Calibri" w:hAnsi="GHEA Grapalat" w:cs="Times New Roman"/>
          <w:lang w:val="hy-AM"/>
        </w:rPr>
        <w:t xml:space="preserve"> </w:t>
      </w:r>
      <w:r w:rsidRPr="003F0E8E">
        <w:rPr>
          <w:rFonts w:ascii="GHEA Grapalat" w:eastAsia="Calibri" w:hAnsi="GHEA Grapalat" w:cs="Times New Roman"/>
          <w:lang w:val="hy-AM"/>
        </w:rPr>
        <w:t>չեն ներկայացել դատական քննությանը:</w:t>
      </w:r>
    </w:p>
    <w:p w:rsidR="00801BCD" w:rsidRPr="003F0E8E" w:rsidRDefault="00801BCD" w:rsidP="000313FE">
      <w:pPr>
        <w:spacing w:after="0" w:line="360" w:lineRule="auto"/>
        <w:ind w:firstLine="562"/>
        <w:contextualSpacing/>
        <w:jc w:val="both"/>
        <w:rPr>
          <w:rFonts w:ascii="GHEA Grapalat" w:hAnsi="GHEA Grapalat"/>
          <w:b/>
          <w:lang w:val="hy-AM"/>
        </w:rPr>
      </w:pPr>
      <w:r w:rsidRPr="003F0E8E">
        <w:rPr>
          <w:rFonts w:ascii="GHEA Grapalat" w:hAnsi="GHEA Grapalat"/>
          <w:b/>
          <w:lang w:val="hy-AM"/>
        </w:rPr>
        <w:t>Սույն գործով Եվրոպական դատարանն արձանագրել է, որ խախտվել է</w:t>
      </w:r>
      <w:r w:rsidR="00F80ED5" w:rsidRPr="003F0E8E">
        <w:rPr>
          <w:rFonts w:ascii="Sylfaen" w:hAnsi="Sylfaen" w:cs="Sylfaen"/>
          <w:lang w:val="hy-AM"/>
        </w:rPr>
        <w:t xml:space="preserve"> </w:t>
      </w:r>
      <w:r w:rsidR="00F80ED5" w:rsidRPr="003F0E8E">
        <w:rPr>
          <w:rFonts w:ascii="GHEA Grapalat" w:hAnsi="GHEA Grapalat"/>
          <w:b/>
          <w:lang w:val="hy-AM"/>
        </w:rPr>
        <w:t>Կոնվենցիայի 6-րդ հոդվածի 1-ին կետը՝ 6-րդ հոդվածի 3-րդ կետի «դ» ենթակետի զուգակցմամբ</w:t>
      </w:r>
      <w:r w:rsidR="003B23E8" w:rsidRPr="003F0E8E">
        <w:rPr>
          <w:rFonts w:ascii="GHEA Grapalat" w:hAnsi="GHEA Grapalat"/>
          <w:b/>
          <w:lang w:val="hy-AM"/>
        </w:rPr>
        <w:t>:</w:t>
      </w:r>
    </w:p>
    <w:p w:rsidR="003F0E8E" w:rsidRDefault="003F0E8E" w:rsidP="003F0E8E">
      <w:pPr>
        <w:spacing w:after="0" w:line="360" w:lineRule="auto"/>
        <w:ind w:firstLine="562"/>
        <w:contextualSpacing/>
        <w:jc w:val="both"/>
        <w:rPr>
          <w:rFonts w:ascii="GHEA Grapalat" w:hAnsi="GHEA Grapalat"/>
          <w:lang w:val="hy-AM"/>
        </w:rPr>
      </w:pPr>
      <w:r w:rsidRPr="003F0E8E">
        <w:rPr>
          <w:rFonts w:ascii="GHEA Grapalat" w:hAnsi="GHEA Grapalat"/>
          <w:lang w:val="hy-AM"/>
        </w:rPr>
        <w:t>Պարզելու համար, թե արդյոք տեղի է ունեցել Կոնվենցիայի 6-րդ հոդվածի 1-ին կետի խախտում՝ զուգակցված 6-րդ</w:t>
      </w:r>
      <w:r w:rsidR="00713535">
        <w:rPr>
          <w:rFonts w:ascii="GHEA Grapalat" w:hAnsi="GHEA Grapalat"/>
          <w:lang w:val="hy-AM"/>
        </w:rPr>
        <w:t xml:space="preserve"> հոդվածի </w:t>
      </w:r>
      <w:r w:rsidRPr="003F0E8E">
        <w:rPr>
          <w:rFonts w:ascii="GHEA Grapalat" w:hAnsi="GHEA Grapalat"/>
          <w:lang w:val="hy-AM"/>
        </w:rPr>
        <w:t xml:space="preserve">3-րդ կետի «դ» ենթակետի հետ, Եվրոպական Դատարանը կիրառել է իր նախադեպային իրավունքով սահմանված եռաստիճան թեստը: </w:t>
      </w:r>
    </w:p>
    <w:p w:rsidR="003F0E8E" w:rsidRDefault="003F0E8E" w:rsidP="009C6814">
      <w:pPr>
        <w:spacing w:before="240" w:line="360" w:lineRule="auto"/>
        <w:ind w:firstLine="562"/>
        <w:jc w:val="both"/>
        <w:rPr>
          <w:rFonts w:ascii="GHEA Grapalat" w:hAnsi="GHEA Grapalat"/>
          <w:i/>
          <w:lang w:val="hy-AM"/>
        </w:rPr>
      </w:pPr>
      <w:r w:rsidRPr="003F0E8E">
        <w:rPr>
          <w:rFonts w:ascii="GHEA Grapalat" w:hAnsi="GHEA Grapalat"/>
          <w:i/>
          <w:lang w:val="hy-AM"/>
        </w:rPr>
        <w:t>Արդյոք վկաների՝ դատական քննությանը չներկայանալու համար եղել են հիմնավոր պատճառներ:</w:t>
      </w:r>
    </w:p>
    <w:p w:rsidR="009C6814" w:rsidRPr="003F0E8E" w:rsidRDefault="009C6814" w:rsidP="009C6814">
      <w:pPr>
        <w:spacing w:before="240" w:line="360" w:lineRule="auto"/>
        <w:ind w:firstLine="562"/>
        <w:contextualSpacing/>
        <w:jc w:val="both"/>
        <w:rPr>
          <w:rFonts w:ascii="GHEA Grapalat" w:hAnsi="GHEA Grapalat"/>
          <w:lang w:val="hy-AM"/>
        </w:rPr>
      </w:pPr>
      <w:r w:rsidRPr="003F0E8E">
        <w:rPr>
          <w:rFonts w:ascii="GHEA Grapalat" w:hAnsi="GHEA Grapalat"/>
          <w:lang w:val="hy-AM"/>
        </w:rPr>
        <w:t>Եվրոպական դատարանն ընդունել է, որ Կառավարությունը ձեռնարկել է որոշակի քայլեր վկաների ներկայությունը</w:t>
      </w:r>
      <w:r w:rsidR="00713535">
        <w:rPr>
          <w:rFonts w:ascii="GHEA Grapalat" w:hAnsi="GHEA Grapalat"/>
          <w:lang w:val="hy-AM"/>
        </w:rPr>
        <w:t xml:space="preserve"> դատական քննության</w:t>
      </w:r>
      <w:r w:rsidRPr="003F0E8E">
        <w:rPr>
          <w:rFonts w:ascii="GHEA Grapalat" w:hAnsi="GHEA Grapalat"/>
          <w:lang w:val="hy-AM"/>
        </w:rPr>
        <w:t xml:space="preserve"> </w:t>
      </w:r>
      <w:r w:rsidR="00713535">
        <w:rPr>
          <w:rFonts w:ascii="GHEA Grapalat" w:hAnsi="GHEA Grapalat"/>
          <w:lang w:val="hy-AM"/>
        </w:rPr>
        <w:t xml:space="preserve">փուլում </w:t>
      </w:r>
      <w:r w:rsidRPr="003F0E8E">
        <w:rPr>
          <w:rFonts w:ascii="GHEA Grapalat" w:hAnsi="GHEA Grapalat"/>
          <w:lang w:val="hy-AM"/>
        </w:rPr>
        <w:t>ապահովելու համար: Մասնավորապես, ներկայացվել են փոստային ստացականներ</w:t>
      </w:r>
      <w:r w:rsidR="00713535">
        <w:rPr>
          <w:rFonts w:ascii="GHEA Grapalat" w:hAnsi="GHEA Grapalat"/>
          <w:lang w:val="hy-AM"/>
        </w:rPr>
        <w:t>,</w:t>
      </w:r>
      <w:r>
        <w:rPr>
          <w:rFonts w:ascii="GHEA Grapalat" w:hAnsi="GHEA Grapalat"/>
          <w:lang w:val="hy-AM"/>
        </w:rPr>
        <w:t xml:space="preserve"> համաձայն որոնց </w:t>
      </w:r>
      <w:r w:rsidRPr="00713535">
        <w:rPr>
          <w:rFonts w:ascii="GHEA Grapalat" w:hAnsi="GHEA Grapalat"/>
          <w:lang w:val="hy-AM"/>
        </w:rPr>
        <w:t>նախնական քննության</w:t>
      </w:r>
      <w:r w:rsidRPr="003F0E8E">
        <w:rPr>
          <w:rFonts w:ascii="GHEA Grapalat" w:hAnsi="GHEA Grapalat"/>
          <w:lang w:val="hy-AM"/>
        </w:rPr>
        <w:t xml:space="preserve"> ընթացքում հարցաքննված 11 վկաներին ուղարկվել են դատական ծանուցագրեր</w:t>
      </w:r>
      <w:r w:rsidR="002D7461">
        <w:rPr>
          <w:rFonts w:ascii="GHEA Grapalat" w:hAnsi="GHEA Grapalat"/>
          <w:lang w:val="hy-AM"/>
        </w:rPr>
        <w:t xml:space="preserve">, որոնցից </w:t>
      </w:r>
      <w:r w:rsidRPr="003F0E8E">
        <w:rPr>
          <w:rFonts w:ascii="GHEA Grapalat" w:hAnsi="GHEA Grapalat"/>
          <w:lang w:val="hy-AM"/>
        </w:rPr>
        <w:t xml:space="preserve">միայն երեքն են </w:t>
      </w:r>
      <w:r>
        <w:rPr>
          <w:rFonts w:ascii="GHEA Grapalat" w:hAnsi="GHEA Grapalat"/>
          <w:lang w:val="hy-AM"/>
        </w:rPr>
        <w:t>ստացել դրանք</w:t>
      </w:r>
      <w:r w:rsidRPr="003F0E8E">
        <w:rPr>
          <w:rFonts w:ascii="GHEA Grapalat" w:hAnsi="GHEA Grapalat"/>
          <w:lang w:val="hy-AM"/>
        </w:rPr>
        <w:t xml:space="preserve">: 11 վկաներից 8-ը ներկայացրել են Ղազախստանում նոտարական կարգով վավերացված տեղեկանքներ, որոնց համաձայն իրենք չեն կարող ներկայանալ դատական նիստերին՝ </w:t>
      </w:r>
      <w:r w:rsidR="00306AC1" w:rsidRPr="000A6E2E">
        <w:rPr>
          <w:rFonts w:ascii="GHEA Grapalat" w:hAnsi="GHEA Grapalat"/>
          <w:lang w:val="hy-AM"/>
        </w:rPr>
        <w:t>ֆինանսական միջոցների բացակայության</w:t>
      </w:r>
      <w:r w:rsidR="002D7461">
        <w:rPr>
          <w:rFonts w:ascii="GHEA Grapalat" w:hAnsi="GHEA Grapalat"/>
          <w:lang w:val="hy-AM"/>
        </w:rPr>
        <w:t xml:space="preserve">, </w:t>
      </w:r>
      <w:r w:rsidRPr="000A6E2E">
        <w:rPr>
          <w:rFonts w:ascii="GHEA Grapalat" w:hAnsi="GHEA Grapalat"/>
          <w:lang w:val="hy-AM"/>
        </w:rPr>
        <w:t>աշխատանքային</w:t>
      </w:r>
      <w:r w:rsidR="00306AC1" w:rsidRPr="000A6E2E">
        <w:rPr>
          <w:rFonts w:ascii="GHEA Grapalat" w:hAnsi="GHEA Grapalat"/>
          <w:lang w:val="hy-AM"/>
        </w:rPr>
        <w:t xml:space="preserve"> կամ </w:t>
      </w:r>
      <w:r w:rsidRPr="000A6E2E">
        <w:rPr>
          <w:rFonts w:ascii="GHEA Grapalat" w:hAnsi="GHEA Grapalat"/>
          <w:lang w:val="hy-AM"/>
        </w:rPr>
        <w:t>ընտանեկան</w:t>
      </w:r>
      <w:r w:rsidR="00306AC1" w:rsidRPr="000A6E2E">
        <w:rPr>
          <w:rFonts w:ascii="GHEA Grapalat" w:hAnsi="GHEA Grapalat"/>
          <w:lang w:val="hy-AM"/>
        </w:rPr>
        <w:t xml:space="preserve"> </w:t>
      </w:r>
      <w:r w:rsidRPr="000A6E2E">
        <w:rPr>
          <w:rFonts w:ascii="GHEA Grapalat" w:hAnsi="GHEA Grapalat"/>
          <w:lang w:val="hy-AM"/>
        </w:rPr>
        <w:t>պատճառներով և խնդրել են դատարանին հաշվի առնել նախաքննության ընթացքում իրենց տված ցուցմունքները:</w:t>
      </w:r>
      <w:r w:rsidRPr="003F0E8E">
        <w:rPr>
          <w:rFonts w:ascii="GHEA Grapalat" w:hAnsi="GHEA Grapalat"/>
          <w:lang w:val="hy-AM"/>
        </w:rPr>
        <w:t xml:space="preserve"> </w:t>
      </w:r>
    </w:p>
    <w:p w:rsidR="009C6814" w:rsidRPr="003F0E8E" w:rsidRDefault="009C6814" w:rsidP="009C6814">
      <w:pPr>
        <w:spacing w:before="240" w:line="360" w:lineRule="auto"/>
        <w:ind w:firstLine="562"/>
        <w:contextualSpacing/>
        <w:jc w:val="both"/>
        <w:rPr>
          <w:rFonts w:ascii="GHEA Grapalat" w:hAnsi="GHEA Grapalat"/>
          <w:lang w:val="hy-AM"/>
        </w:rPr>
      </w:pPr>
      <w:r w:rsidRPr="003F0E8E">
        <w:rPr>
          <w:rFonts w:ascii="GHEA Grapalat" w:hAnsi="GHEA Grapalat"/>
          <w:lang w:val="hy-AM"/>
        </w:rPr>
        <w:t xml:space="preserve">Եվրոպական դատարանի համար պարզ չի եղել, թե ինչպես են 8 վկաներ ներկայացրել նմանատիպ տեղեկանքներ, եթե նրանցից ոմանք ընդհանրապես տեղյակ չեն եղել Հայաստանում դիմումատուի </w:t>
      </w:r>
      <w:r w:rsidR="00AF1C63">
        <w:rPr>
          <w:rFonts w:ascii="GHEA Grapalat" w:hAnsi="GHEA Grapalat"/>
          <w:lang w:val="hy-AM"/>
        </w:rPr>
        <w:t xml:space="preserve">գործով </w:t>
      </w:r>
      <w:r w:rsidRPr="003F0E8E">
        <w:rPr>
          <w:rFonts w:ascii="GHEA Grapalat" w:hAnsi="GHEA Grapalat"/>
          <w:lang w:val="hy-AM"/>
        </w:rPr>
        <w:t>իրականացվող դատական քննության վերաբերյալ: Եվրոպական դատարանը նաև</w:t>
      </w:r>
      <w:r w:rsidR="00AF1C63">
        <w:rPr>
          <w:rFonts w:ascii="GHEA Grapalat" w:hAnsi="GHEA Grapalat"/>
          <w:lang w:val="hy-AM"/>
        </w:rPr>
        <w:t xml:space="preserve"> նշել</w:t>
      </w:r>
      <w:r w:rsidRPr="003F0E8E">
        <w:rPr>
          <w:rFonts w:ascii="GHEA Grapalat" w:hAnsi="GHEA Grapalat"/>
          <w:lang w:val="hy-AM"/>
        </w:rPr>
        <w:t xml:space="preserve"> է, որ վկաներից մեկը, ով ստացել է </w:t>
      </w:r>
      <w:r w:rsidRPr="003F0E8E">
        <w:rPr>
          <w:rFonts w:ascii="GHEA Grapalat" w:hAnsi="GHEA Grapalat"/>
          <w:lang w:val="hy-AM"/>
        </w:rPr>
        <w:lastRenderedPageBreak/>
        <w:t>համապատասխան ծանուցագիրը, ընդհանրապես չի ներկայացրել որևէ տեղեկանք իր չներկայանալու պատճառների վերաբերյալ:</w:t>
      </w:r>
    </w:p>
    <w:p w:rsidR="009C6814" w:rsidRDefault="009C6814" w:rsidP="009C6814">
      <w:pPr>
        <w:spacing w:after="0" w:line="360" w:lineRule="auto"/>
        <w:ind w:firstLine="540"/>
        <w:contextualSpacing/>
        <w:jc w:val="both"/>
        <w:rPr>
          <w:rFonts w:ascii="GHEA Grapalat" w:hAnsi="GHEA Grapalat"/>
          <w:lang w:val="hy-AM"/>
        </w:rPr>
      </w:pPr>
      <w:r>
        <w:rPr>
          <w:rFonts w:ascii="GHEA Grapalat" w:hAnsi="GHEA Grapalat"/>
          <w:lang w:val="hy-AM"/>
        </w:rPr>
        <w:t xml:space="preserve">Դատարանը </w:t>
      </w:r>
      <w:r w:rsidRPr="003F0E8E">
        <w:rPr>
          <w:rFonts w:ascii="GHEA Grapalat" w:hAnsi="GHEA Grapalat"/>
          <w:lang w:val="hy-AM"/>
        </w:rPr>
        <w:t>վերոգրյալի հիման վրա արձանագրել է,</w:t>
      </w:r>
      <w:r w:rsidRPr="009C6814">
        <w:rPr>
          <w:rFonts w:ascii="GHEA Grapalat" w:hAnsi="GHEA Grapalat"/>
          <w:sz w:val="24"/>
          <w:szCs w:val="24"/>
          <w:lang w:val="hy-AM"/>
        </w:rPr>
        <w:t xml:space="preserve"> </w:t>
      </w:r>
      <w:r w:rsidRPr="003F0E8E">
        <w:rPr>
          <w:rFonts w:ascii="GHEA Grapalat" w:hAnsi="GHEA Grapalat"/>
          <w:lang w:val="hy-AM"/>
        </w:rPr>
        <w:t xml:space="preserve">որ բոլոր ողջամիտ </w:t>
      </w:r>
      <w:r>
        <w:rPr>
          <w:rFonts w:ascii="GHEA Grapalat" w:hAnsi="GHEA Grapalat"/>
          <w:lang w:val="hy-AM"/>
        </w:rPr>
        <w:t>քայլերը</w:t>
      </w:r>
      <w:r w:rsidRPr="003F0E8E">
        <w:rPr>
          <w:rFonts w:ascii="GHEA Grapalat" w:hAnsi="GHEA Grapalat"/>
          <w:lang w:val="hy-AM"/>
        </w:rPr>
        <w:t xml:space="preserve"> չեն ձեռնարկվել </w:t>
      </w:r>
      <w:r>
        <w:rPr>
          <w:rFonts w:ascii="GHEA Grapalat" w:hAnsi="GHEA Grapalat"/>
          <w:lang w:val="hy-AM"/>
        </w:rPr>
        <w:t xml:space="preserve">դատական քննությանը </w:t>
      </w:r>
      <w:r w:rsidRPr="003F0E8E">
        <w:rPr>
          <w:rFonts w:ascii="GHEA Grapalat" w:hAnsi="GHEA Grapalat"/>
          <w:lang w:val="hy-AM"/>
        </w:rPr>
        <w:t xml:space="preserve">վկաների ներկայությունը ապահովելու համար: Մասնավորապես, Մինսկի 1993թ. Կոնվենցիայի համաձայն (որի կողմեր </w:t>
      </w:r>
      <w:r w:rsidR="00713535" w:rsidRPr="003F0E8E">
        <w:rPr>
          <w:rFonts w:ascii="GHEA Grapalat" w:hAnsi="GHEA Grapalat"/>
          <w:lang w:val="hy-AM"/>
        </w:rPr>
        <w:t xml:space="preserve">են </w:t>
      </w:r>
      <w:r w:rsidRPr="003F0E8E">
        <w:rPr>
          <w:rFonts w:ascii="GHEA Grapalat" w:hAnsi="GHEA Grapalat"/>
          <w:lang w:val="hy-AM"/>
        </w:rPr>
        <w:t xml:space="preserve">հանդիսանում և´ Հայաստանը, և´ Ղազախստանը) ներպետական </w:t>
      </w:r>
      <w:r w:rsidR="00477950">
        <w:rPr>
          <w:rFonts w:ascii="GHEA Grapalat" w:hAnsi="GHEA Grapalat"/>
          <w:lang w:val="hy-AM"/>
        </w:rPr>
        <w:t>իշխան</w:t>
      </w:r>
      <w:r w:rsidRPr="003F0E8E">
        <w:rPr>
          <w:rFonts w:ascii="GHEA Grapalat" w:hAnsi="GHEA Grapalat"/>
          <w:lang w:val="hy-AM"/>
        </w:rPr>
        <w:t>ությունները կարող էին խնդրել միջպետական իրավական փոխօգնություն: Ավելին, ներպետական դատարանները պատրաստակամորեն ընդունել են վկաների չներկայանալու պատճառաբանությունները՝ առանց նույնիսկ քննարկելու որոշակի դեպքերում նրանց ճանապարհածախսը և կեցության ծախսերը փոխհատուցելու հնարավորությունը: Հետևաբար,</w:t>
      </w:r>
      <w:r w:rsidRPr="009C6814">
        <w:rPr>
          <w:rFonts w:ascii="Sylfaen" w:hAnsi="Sylfaen" w:cs="Sylfaen"/>
          <w:lang w:val="hy-AM"/>
        </w:rPr>
        <w:t xml:space="preserve"> </w:t>
      </w:r>
      <w:r w:rsidRPr="009C6814">
        <w:rPr>
          <w:rFonts w:ascii="GHEA Grapalat" w:hAnsi="GHEA Grapalat"/>
          <w:lang w:val="hy-AM"/>
        </w:rPr>
        <w:t>հիմնավոր պատճառներ չեն եղել 11 վկաների ներկայությունը դատական քննության ընթացքում չապահովելու համար</w:t>
      </w:r>
      <w:r w:rsidRPr="003F0E8E">
        <w:rPr>
          <w:rFonts w:ascii="GHEA Grapalat" w:hAnsi="GHEA Grapalat"/>
          <w:lang w:val="hy-AM"/>
        </w:rPr>
        <w:t>:</w:t>
      </w:r>
    </w:p>
    <w:p w:rsidR="009C6814" w:rsidRPr="003F0E8E" w:rsidRDefault="009C6814" w:rsidP="009C6814">
      <w:pPr>
        <w:spacing w:before="240" w:line="360" w:lineRule="auto"/>
        <w:ind w:firstLine="547"/>
        <w:jc w:val="both"/>
        <w:rPr>
          <w:rFonts w:ascii="GHEA Grapalat" w:hAnsi="GHEA Grapalat"/>
          <w:i/>
          <w:lang w:val="hy-AM"/>
        </w:rPr>
      </w:pPr>
      <w:r w:rsidRPr="003F0E8E">
        <w:rPr>
          <w:rFonts w:ascii="GHEA Grapalat" w:hAnsi="GHEA Grapalat"/>
          <w:i/>
          <w:lang w:val="hy-AM"/>
        </w:rPr>
        <w:t>Արդյոք չներկայացած վկաների ցուցմունքները եղել են «միակ կամ</w:t>
      </w:r>
      <w:r>
        <w:rPr>
          <w:rFonts w:ascii="GHEA Grapalat" w:hAnsi="GHEA Grapalat"/>
          <w:i/>
          <w:lang w:val="hy-AM"/>
        </w:rPr>
        <w:t xml:space="preserve"> </w:t>
      </w:r>
      <w:r w:rsidRPr="003F0E8E">
        <w:rPr>
          <w:rFonts w:ascii="GHEA Grapalat" w:hAnsi="GHEA Grapalat"/>
          <w:i/>
          <w:lang w:val="hy-AM"/>
        </w:rPr>
        <w:t>որոշիչ» ապացույցը:</w:t>
      </w:r>
    </w:p>
    <w:p w:rsidR="009C6814" w:rsidRDefault="009C6814" w:rsidP="00FE6B0C">
      <w:pPr>
        <w:tabs>
          <w:tab w:val="left" w:pos="990"/>
        </w:tabs>
        <w:spacing w:after="0" w:line="360" w:lineRule="auto"/>
        <w:ind w:firstLine="540"/>
        <w:jc w:val="both"/>
        <w:rPr>
          <w:rFonts w:ascii="GHEA Grapalat" w:hAnsi="GHEA Grapalat"/>
          <w:lang w:val="hy-AM"/>
        </w:rPr>
      </w:pPr>
      <w:r w:rsidRPr="003F0E8E">
        <w:rPr>
          <w:rFonts w:ascii="GHEA Grapalat" w:hAnsi="GHEA Grapalat"/>
          <w:lang w:val="hy-AM"/>
        </w:rPr>
        <w:t xml:space="preserve">Եվրոպական դատարանն արձանագրել է, որ դիմումատուին մեղսագրվող արարքը հիմնավորելիս ներպետական </w:t>
      </w:r>
      <w:r>
        <w:rPr>
          <w:rFonts w:ascii="GHEA Grapalat" w:hAnsi="GHEA Grapalat"/>
          <w:lang w:val="hy-AM"/>
        </w:rPr>
        <w:t>դատարաններն</w:t>
      </w:r>
      <w:r w:rsidRPr="003F0E8E">
        <w:rPr>
          <w:rFonts w:ascii="GHEA Grapalat" w:hAnsi="GHEA Grapalat"/>
          <w:lang w:val="hy-AM"/>
        </w:rPr>
        <w:t xml:space="preserve"> ակնհայտորեն հղում են կատարել 11 վկաների ցուցմունքներին: Դատարանը թեև </w:t>
      </w:r>
      <w:r w:rsidR="00FE6B0C">
        <w:rPr>
          <w:rFonts w:ascii="GHEA Grapalat" w:hAnsi="GHEA Grapalat"/>
          <w:lang w:val="hy-AM"/>
        </w:rPr>
        <w:t xml:space="preserve">ընդունել </w:t>
      </w:r>
      <w:r w:rsidRPr="003F0E8E">
        <w:rPr>
          <w:rFonts w:ascii="GHEA Grapalat" w:hAnsi="GHEA Grapalat"/>
          <w:lang w:val="hy-AM"/>
        </w:rPr>
        <w:t xml:space="preserve">է, որ </w:t>
      </w:r>
      <w:r>
        <w:rPr>
          <w:rFonts w:ascii="GHEA Grapalat" w:hAnsi="GHEA Grapalat"/>
          <w:lang w:val="hy-AM"/>
        </w:rPr>
        <w:t xml:space="preserve">ներպետական </w:t>
      </w:r>
      <w:r w:rsidRPr="003F0E8E">
        <w:rPr>
          <w:rFonts w:ascii="GHEA Grapalat" w:hAnsi="GHEA Grapalat"/>
          <w:lang w:val="hy-AM"/>
        </w:rPr>
        <w:t xml:space="preserve">դատարանը հղում է կատարել նաև Ղազախստանում Բ.Մ.-ի </w:t>
      </w:r>
      <w:r w:rsidR="00FE6B0C">
        <w:rPr>
          <w:rFonts w:ascii="GHEA Grapalat" w:hAnsi="GHEA Grapalat"/>
          <w:lang w:val="hy-AM"/>
        </w:rPr>
        <w:t xml:space="preserve">գործով </w:t>
      </w:r>
      <w:r w:rsidRPr="003F0E8E">
        <w:rPr>
          <w:rFonts w:ascii="GHEA Grapalat" w:hAnsi="GHEA Grapalat"/>
          <w:lang w:val="hy-AM"/>
        </w:rPr>
        <w:t>դատական քննության ընթացքում հարցաքննված</w:t>
      </w:r>
      <w:r w:rsidR="00FE6B0C">
        <w:rPr>
          <w:rFonts w:ascii="GHEA Grapalat" w:hAnsi="GHEA Grapalat"/>
          <w:lang w:val="hy-AM"/>
        </w:rPr>
        <w:t xml:space="preserve"> </w:t>
      </w:r>
      <w:r w:rsidRPr="003F0E8E">
        <w:rPr>
          <w:rFonts w:ascii="GHEA Grapalat" w:hAnsi="GHEA Grapalat"/>
          <w:lang w:val="hy-AM"/>
        </w:rPr>
        <w:t>փորձագետների ցուցմունքներին, փորձաքննությունների</w:t>
      </w:r>
      <w:r>
        <w:rPr>
          <w:rFonts w:ascii="GHEA Grapalat" w:hAnsi="GHEA Grapalat"/>
          <w:lang w:val="hy-AM"/>
        </w:rPr>
        <w:t xml:space="preserve"> </w:t>
      </w:r>
      <w:r w:rsidRPr="003F0E8E">
        <w:rPr>
          <w:rFonts w:ascii="GHEA Grapalat" w:hAnsi="GHEA Grapalat"/>
          <w:lang w:val="hy-AM"/>
        </w:rPr>
        <w:t>արձանագրություններին, դեպքի վայրի տեսա</w:t>
      </w:r>
      <w:r w:rsidR="00FE6B0C">
        <w:rPr>
          <w:rFonts w:ascii="GHEA Grapalat" w:hAnsi="GHEA Grapalat"/>
          <w:lang w:val="hy-AM"/>
        </w:rPr>
        <w:t>ձայնա</w:t>
      </w:r>
      <w:r w:rsidRPr="003F0E8E">
        <w:rPr>
          <w:rFonts w:ascii="GHEA Grapalat" w:hAnsi="GHEA Grapalat"/>
          <w:lang w:val="hy-AM"/>
        </w:rPr>
        <w:t xml:space="preserve">գրություններին, այնուամենայնիվ եզրահանգել է, որ 11 վկաները </w:t>
      </w:r>
      <w:r w:rsidR="00FE6B0C" w:rsidRPr="009C6814">
        <w:rPr>
          <w:rFonts w:ascii="GHEA Grapalat" w:eastAsia="Calibri" w:hAnsi="GHEA Grapalat" w:cs="Times New Roman"/>
          <w:lang w:val="hy-AM"/>
        </w:rPr>
        <w:t>եղել են դեպքի միակ ականատեսները, իսկ մնացած ապացույցները չէին կարող որոշիչ լինել դանակահարության փաստի ապացուցման համար: Հետևաբար, չնայած չներկայացած վկաների ցուցմունքները միակ ապացույցը չեն եղել, դրանք Եվրոպական դատարանի կողմից դիտվել են «որոշիչ» դիմումատուին դատապարտելու համար:</w:t>
      </w:r>
    </w:p>
    <w:p w:rsidR="00FE6B0C" w:rsidRPr="003F0E8E" w:rsidRDefault="00FE6B0C" w:rsidP="00FE6B0C">
      <w:pPr>
        <w:spacing w:before="240" w:line="360" w:lineRule="auto"/>
        <w:ind w:firstLine="547"/>
        <w:jc w:val="both"/>
        <w:rPr>
          <w:rFonts w:ascii="GHEA Grapalat" w:hAnsi="GHEA Grapalat"/>
          <w:i/>
          <w:lang w:val="hy-AM"/>
        </w:rPr>
      </w:pPr>
      <w:r w:rsidRPr="003F0E8E">
        <w:rPr>
          <w:rFonts w:ascii="GHEA Grapalat" w:hAnsi="GHEA Grapalat"/>
          <w:i/>
          <w:lang w:val="hy-AM"/>
        </w:rPr>
        <w:t>Արդյոք եղել են բավարար «հակակշռող գործոններ»:</w:t>
      </w:r>
    </w:p>
    <w:p w:rsidR="00FE6B0C" w:rsidRPr="00AF1C63" w:rsidRDefault="00FE6B0C" w:rsidP="00AF1C63">
      <w:pPr>
        <w:spacing w:before="240" w:line="360" w:lineRule="auto"/>
        <w:ind w:firstLine="540"/>
        <w:contextualSpacing/>
        <w:jc w:val="both"/>
        <w:rPr>
          <w:rFonts w:ascii="GHEA Grapalat" w:hAnsi="GHEA Grapalat"/>
          <w:lang w:val="hy-AM"/>
        </w:rPr>
      </w:pPr>
      <w:r w:rsidRPr="003F0E8E">
        <w:rPr>
          <w:rFonts w:ascii="GHEA Grapalat" w:hAnsi="GHEA Grapalat"/>
          <w:lang w:val="hy-AM"/>
        </w:rPr>
        <w:t xml:space="preserve">Դատարանն արձանագրել է, </w:t>
      </w:r>
      <w:r>
        <w:rPr>
          <w:rFonts w:ascii="GHEA Grapalat" w:hAnsi="GHEA Grapalat"/>
          <w:lang w:val="hy-AM"/>
        </w:rPr>
        <w:t>որ դ</w:t>
      </w:r>
      <w:r w:rsidR="003F0E8E" w:rsidRPr="003F0E8E">
        <w:rPr>
          <w:rFonts w:ascii="GHEA Grapalat" w:eastAsia="Calibri" w:hAnsi="GHEA Grapalat" w:cs="Times New Roman"/>
          <w:lang w:val="hy-AM"/>
        </w:rPr>
        <w:t>իմումատուն զրկվել է վերը հիշատակված վկաներին Հայաստանում իր դեմ հարուցված քրեական գործի քննության, այդ</w:t>
      </w:r>
      <w:r>
        <w:rPr>
          <w:rFonts w:ascii="GHEA Grapalat" w:hAnsi="GHEA Grapalat"/>
          <w:lang w:val="hy-AM"/>
        </w:rPr>
        <w:t xml:space="preserve"> </w:t>
      </w:r>
      <w:r w:rsidR="003F0E8E" w:rsidRPr="003F0E8E">
        <w:rPr>
          <w:rFonts w:ascii="GHEA Grapalat" w:eastAsia="Calibri" w:hAnsi="GHEA Grapalat" w:cs="Times New Roman"/>
          <w:lang w:val="hy-AM"/>
        </w:rPr>
        <w:t xml:space="preserve">թվում՝ դատական </w:t>
      </w:r>
      <w:r w:rsidR="003F0E8E" w:rsidRPr="003F0E8E">
        <w:rPr>
          <w:rFonts w:ascii="GHEA Grapalat" w:eastAsia="Calibri" w:hAnsi="GHEA Grapalat" w:cs="Times New Roman"/>
          <w:lang w:val="hy-AM"/>
        </w:rPr>
        <w:lastRenderedPageBreak/>
        <w:t>քննության ընթացքում հարցաքննելու հնարավորությունից։</w:t>
      </w:r>
      <w:r w:rsidR="00AF1C63">
        <w:rPr>
          <w:rFonts w:ascii="GHEA Grapalat" w:eastAsia="Calibri" w:hAnsi="GHEA Grapalat" w:cs="Times New Roman"/>
          <w:lang w:val="hy-AM"/>
        </w:rPr>
        <w:t xml:space="preserve"> </w:t>
      </w:r>
      <w:r w:rsidR="003F0E8E" w:rsidRPr="003F0E8E">
        <w:rPr>
          <w:rFonts w:ascii="GHEA Grapalat" w:eastAsia="Calibri" w:hAnsi="GHEA Grapalat" w:cs="Times New Roman"/>
          <w:lang w:val="hy-AM"/>
        </w:rPr>
        <w:t xml:space="preserve">Դատավարական որևէ միջոցառում չի ձեռնարկվել՝ դատական քննության ընթացքում դիմումատուի՝ իր դեմ ցուցմունք տված վկաներին հարցաքննելու հնարավորության բացակայությունը որևէ այլ կերպ լրացնելու համար։ Ավելին, առաջին ատյանի դատարանը պատշաճ կարգով չի գնահատել այն, թե որքանով կարելի է վստահել չներկայացած վկաներին և հավաստի համարել նրանց ցուցմունքները՝ դրանք պարզապես դասելով դիմումատուի մեղավորությունը հիմնավորող ապացույցների թվին: </w:t>
      </w:r>
    </w:p>
    <w:p w:rsidR="006A5DBE" w:rsidRPr="001E79F8" w:rsidRDefault="003F0E8E" w:rsidP="001E79F8">
      <w:pPr>
        <w:tabs>
          <w:tab w:val="left" w:pos="720"/>
        </w:tabs>
        <w:spacing w:after="0" w:line="360" w:lineRule="auto"/>
        <w:jc w:val="both"/>
        <w:rPr>
          <w:rFonts w:ascii="GHEA Grapalat" w:hAnsi="GHEA Grapalat"/>
          <w:lang w:val="hy-AM"/>
        </w:rPr>
      </w:pPr>
      <w:r w:rsidRPr="003F0E8E">
        <w:rPr>
          <w:rFonts w:ascii="GHEA Grapalat" w:eastAsia="Calibri" w:hAnsi="GHEA Grapalat" w:cs="Times New Roman"/>
          <w:b/>
          <w:lang w:val="hy-AM"/>
        </w:rPr>
        <w:tab/>
      </w:r>
      <w:r w:rsidR="001E79F8" w:rsidRPr="001E79F8">
        <w:rPr>
          <w:rFonts w:ascii="GHEA Grapalat" w:hAnsi="GHEA Grapalat"/>
          <w:lang w:val="hy-AM"/>
        </w:rPr>
        <w:t>Վերոգրյալի հիման վրա</w:t>
      </w:r>
      <w:r w:rsidR="006A5DBE" w:rsidRPr="001E79F8">
        <w:rPr>
          <w:rFonts w:ascii="GHEA Grapalat" w:hAnsi="GHEA Grapalat"/>
          <w:lang w:val="hy-AM"/>
        </w:rPr>
        <w:t xml:space="preserve">՝ Եվրոպական դատարանն արձանագրել է, որ տեղի է ունեցել Կոնվենցիայի 6-րդ հոդվածի 1-ին կետի խախտում՝ զուգակցված 6-րդ </w:t>
      </w:r>
      <w:r w:rsidR="00AF1C63">
        <w:rPr>
          <w:rFonts w:ascii="GHEA Grapalat" w:hAnsi="GHEA Grapalat"/>
          <w:lang w:val="hy-AM"/>
        </w:rPr>
        <w:t xml:space="preserve">հոդվածի </w:t>
      </w:r>
      <w:r w:rsidR="006A5DBE" w:rsidRPr="001E79F8">
        <w:rPr>
          <w:rFonts w:ascii="GHEA Grapalat" w:hAnsi="GHEA Grapalat"/>
          <w:lang w:val="hy-AM"/>
        </w:rPr>
        <w:t>3-րդ</w:t>
      </w:r>
      <w:r w:rsidR="001E79F8" w:rsidRPr="001E79F8">
        <w:rPr>
          <w:rFonts w:ascii="GHEA Grapalat" w:hAnsi="GHEA Grapalat"/>
          <w:lang w:val="hy-AM"/>
        </w:rPr>
        <w:t xml:space="preserve"> կետի «դ» </w:t>
      </w:r>
      <w:r w:rsidR="006A5DBE" w:rsidRPr="001E79F8">
        <w:rPr>
          <w:rFonts w:ascii="GHEA Grapalat" w:hAnsi="GHEA Grapalat"/>
          <w:lang w:val="hy-AM"/>
        </w:rPr>
        <w:t>ենթակետի հետ:</w:t>
      </w:r>
      <w:r w:rsidR="007E4AC7" w:rsidRPr="001E79F8">
        <w:rPr>
          <w:rFonts w:ascii="GHEA Grapalat" w:hAnsi="GHEA Grapalat"/>
          <w:lang w:val="hy-AM"/>
        </w:rPr>
        <w:t xml:space="preserve"> </w:t>
      </w:r>
    </w:p>
    <w:p w:rsidR="0084175A" w:rsidRPr="003F0E8E" w:rsidRDefault="0084175A" w:rsidP="00B953D0">
      <w:pPr>
        <w:spacing w:after="0" w:line="360" w:lineRule="auto"/>
        <w:ind w:firstLine="630"/>
        <w:contextualSpacing/>
        <w:jc w:val="both"/>
        <w:rPr>
          <w:rFonts w:ascii="GHEA Grapalat" w:hAnsi="GHEA Grapalat"/>
          <w:b/>
          <w:lang w:val="hy-AM"/>
        </w:rPr>
      </w:pPr>
    </w:p>
    <w:p w:rsidR="00AF1C63" w:rsidRPr="003F0E8E" w:rsidRDefault="00AF1C63" w:rsidP="00AF1C63">
      <w:pPr>
        <w:spacing w:after="0" w:line="360" w:lineRule="auto"/>
        <w:ind w:firstLine="540"/>
        <w:jc w:val="both"/>
        <w:rPr>
          <w:rFonts w:ascii="GHEA Grapalat" w:eastAsia="Calibri" w:hAnsi="GHEA Grapalat" w:cs="Times New Roman"/>
          <w:b/>
          <w:lang w:val="hy-AM"/>
        </w:rPr>
      </w:pPr>
      <w:r w:rsidRPr="003F0E8E">
        <w:rPr>
          <w:rFonts w:ascii="GHEA Grapalat" w:hAnsi="GHEA Grapalat" w:cs="Sylfaen"/>
          <w:b/>
          <w:lang w:val="hy-AM"/>
        </w:rPr>
        <w:t>Սույն</w:t>
      </w:r>
      <w:r w:rsidRPr="003F0E8E">
        <w:rPr>
          <w:rFonts w:ascii="GHEA Grapalat" w:hAnsi="GHEA Grapalat"/>
          <w:b/>
          <w:lang w:val="hy-AM"/>
        </w:rPr>
        <w:t xml:space="preserve"> գործով Եվրոպական դատարանն արձանագրել է նաև, որ խախտվել է</w:t>
      </w:r>
      <w:r w:rsidRPr="003F0E8E">
        <w:rPr>
          <w:rFonts w:ascii="Sylfaen" w:hAnsi="Sylfaen" w:cs="Sylfaen"/>
          <w:lang w:val="hy-AM"/>
        </w:rPr>
        <w:t xml:space="preserve"> </w:t>
      </w:r>
      <w:r w:rsidRPr="003F0E8E">
        <w:rPr>
          <w:rFonts w:ascii="GHEA Grapalat" w:hAnsi="GHEA Grapalat"/>
          <w:b/>
          <w:lang w:val="hy-AM"/>
        </w:rPr>
        <w:t xml:space="preserve">Կոնվենցիայի 6-րդ հոդվածի 1-ին կետն </w:t>
      </w:r>
      <w:r w:rsidRPr="003F0E8E">
        <w:rPr>
          <w:rFonts w:ascii="GHEA Grapalat" w:eastAsia="Calibri" w:hAnsi="GHEA Grapalat" w:cs="Times New Roman"/>
          <w:b/>
          <w:lang w:val="hy-AM"/>
        </w:rPr>
        <w:t>առանձին վերցրած</w:t>
      </w:r>
      <w:r>
        <w:rPr>
          <w:rFonts w:ascii="GHEA Grapalat" w:eastAsia="Calibri" w:hAnsi="GHEA Grapalat" w:cs="Times New Roman"/>
          <w:b/>
          <w:lang w:val="hy-AM"/>
        </w:rPr>
        <w:t>:</w:t>
      </w:r>
    </w:p>
    <w:p w:rsidR="0084175A" w:rsidRPr="00AF1C63" w:rsidRDefault="00AF1C63" w:rsidP="0084175A">
      <w:pPr>
        <w:spacing w:after="0" w:line="360" w:lineRule="auto"/>
        <w:ind w:firstLine="634"/>
        <w:contextualSpacing/>
        <w:jc w:val="both"/>
        <w:rPr>
          <w:rFonts w:ascii="GHEA Grapalat" w:hAnsi="GHEA Grapalat"/>
          <w:lang w:val="hy-AM"/>
        </w:rPr>
      </w:pPr>
      <w:r w:rsidRPr="00AF1C63">
        <w:rPr>
          <w:rFonts w:ascii="GHEA Grapalat" w:hAnsi="GHEA Grapalat"/>
          <w:lang w:val="hy-AM"/>
        </w:rPr>
        <w:t>Առաջին ատյանի դատարանը, չհետազոտելով դեպքի վայրի տեսաձայնագրությունները, դրանք անձամբ գնահատելու հնարավորություն չի ունեցել, ինչպես նաև զրկել է պաշտպանության կողմին այդ ապացույցի վերաբերյալ փաստարկներ ներկայացնելու բոլոր հնարավորություններից</w:t>
      </w:r>
      <w:r>
        <w:rPr>
          <w:rFonts w:ascii="GHEA Grapalat" w:hAnsi="GHEA Grapalat"/>
          <w:lang w:val="hy-AM"/>
        </w:rPr>
        <w:t>: Հիմք ընդունելով նշվածը</w:t>
      </w:r>
      <w:r w:rsidRPr="00AF1C63">
        <w:rPr>
          <w:rFonts w:ascii="GHEA Grapalat" w:hAnsi="GHEA Grapalat"/>
          <w:lang w:val="hy-AM"/>
        </w:rPr>
        <w:t>, Եվրոպական դատարանն արձանագրել է, որ առաջին ատյանի դատարանի գործողությունները չեն համապատասխանել Կոնվենցիայի 6-րդ հոդվածի 1-ին կետով ամրագրված մրցակցային դատավարության պահանջներին:</w:t>
      </w:r>
    </w:p>
    <w:p w:rsidR="00AF1C63" w:rsidRDefault="00AF1C63" w:rsidP="0084175A">
      <w:pPr>
        <w:spacing w:after="0" w:line="360" w:lineRule="auto"/>
        <w:ind w:firstLine="634"/>
        <w:contextualSpacing/>
        <w:jc w:val="both"/>
        <w:rPr>
          <w:rFonts w:ascii="GHEA Grapalat" w:hAnsi="GHEA Grapalat"/>
          <w:b/>
          <w:lang w:val="hy-AM"/>
        </w:rPr>
      </w:pPr>
    </w:p>
    <w:p w:rsidR="0084175A" w:rsidRPr="003F0E8E" w:rsidRDefault="0084175A" w:rsidP="0084175A">
      <w:pPr>
        <w:spacing w:after="0" w:line="360" w:lineRule="auto"/>
        <w:ind w:firstLine="634"/>
        <w:contextualSpacing/>
        <w:jc w:val="both"/>
        <w:rPr>
          <w:rFonts w:ascii="GHEA Grapalat" w:hAnsi="GHEA Grapalat"/>
          <w:b/>
          <w:lang w:val="hy-AM"/>
        </w:rPr>
      </w:pPr>
      <w:r w:rsidRPr="003F0E8E">
        <w:rPr>
          <w:rFonts w:ascii="GHEA Grapalat" w:hAnsi="GHEA Grapalat"/>
          <w:b/>
          <w:lang w:val="hy-AM"/>
        </w:rPr>
        <w:t>Արդարացի փոխհատուցում</w:t>
      </w:r>
    </w:p>
    <w:p w:rsidR="001E79F8" w:rsidRDefault="0084175A" w:rsidP="0084175A">
      <w:pPr>
        <w:spacing w:after="0" w:line="360" w:lineRule="auto"/>
        <w:ind w:firstLine="634"/>
        <w:contextualSpacing/>
        <w:jc w:val="both"/>
        <w:rPr>
          <w:rFonts w:ascii="GHEA Grapalat" w:hAnsi="GHEA Grapalat"/>
          <w:lang w:val="hy-AM"/>
        </w:rPr>
      </w:pPr>
      <w:r w:rsidRPr="003F0E8E">
        <w:rPr>
          <w:rFonts w:ascii="GHEA Grapalat" w:hAnsi="GHEA Grapalat"/>
          <w:lang w:val="hy-AM"/>
        </w:rPr>
        <w:t>Դիմումատուն պահանջել է</w:t>
      </w:r>
      <w:r w:rsidR="001E79F8">
        <w:rPr>
          <w:rFonts w:ascii="GHEA Grapalat" w:hAnsi="GHEA Grapalat"/>
          <w:lang w:val="hy-AM"/>
        </w:rPr>
        <w:t xml:space="preserve"> 50000</w:t>
      </w:r>
      <w:r w:rsidRPr="003F0E8E">
        <w:rPr>
          <w:rFonts w:ascii="GHEA Grapalat" w:hAnsi="GHEA Grapalat"/>
          <w:lang w:val="hy-AM"/>
        </w:rPr>
        <w:t xml:space="preserve"> եվրո</w:t>
      </w:r>
      <w:r w:rsidR="001E79F8">
        <w:rPr>
          <w:rFonts w:ascii="GHEA Grapalat" w:hAnsi="GHEA Grapalat"/>
          <w:lang w:val="hy-AM"/>
        </w:rPr>
        <w:t>՝ որպես</w:t>
      </w:r>
      <w:r w:rsidRPr="003F0E8E">
        <w:rPr>
          <w:rFonts w:ascii="GHEA Grapalat" w:hAnsi="GHEA Grapalat"/>
          <w:lang w:val="hy-AM"/>
        </w:rPr>
        <w:t xml:space="preserve"> ոչ նյութական վնասի </w:t>
      </w:r>
      <w:r w:rsidR="001E79F8">
        <w:rPr>
          <w:rFonts w:ascii="GHEA Grapalat" w:hAnsi="GHEA Grapalat"/>
          <w:lang w:val="hy-AM"/>
        </w:rPr>
        <w:t>հատուցում:</w:t>
      </w:r>
    </w:p>
    <w:p w:rsidR="00D762C7" w:rsidRDefault="00D762C7" w:rsidP="0084175A">
      <w:pPr>
        <w:spacing w:after="0" w:line="360" w:lineRule="auto"/>
        <w:ind w:firstLine="634"/>
        <w:contextualSpacing/>
        <w:jc w:val="both"/>
        <w:rPr>
          <w:rFonts w:ascii="GHEA Grapalat" w:hAnsi="GHEA Grapalat"/>
          <w:b/>
          <w:lang w:val="hy-AM"/>
        </w:rPr>
      </w:pPr>
      <w:r w:rsidRPr="00D762C7">
        <w:rPr>
          <w:rFonts w:ascii="GHEA Grapalat" w:hAnsi="GHEA Grapalat"/>
          <w:b/>
          <w:lang w:val="hy-AM"/>
        </w:rPr>
        <w:t xml:space="preserve">Գործի քննության արդյունքում Եվրոպական դատարանը վճռել է դիմումատուին շնորհել </w:t>
      </w:r>
      <w:r>
        <w:rPr>
          <w:rFonts w:ascii="GHEA Grapalat" w:hAnsi="GHEA Grapalat"/>
          <w:b/>
          <w:lang w:val="hy-AM"/>
        </w:rPr>
        <w:t>3100</w:t>
      </w:r>
      <w:r w:rsidRPr="00D762C7">
        <w:rPr>
          <w:rFonts w:ascii="GHEA Grapalat" w:hAnsi="GHEA Grapalat"/>
          <w:b/>
          <w:lang w:val="hy-AM"/>
        </w:rPr>
        <w:t xml:space="preserve"> եվրո ոչ նյութական վնասի</w:t>
      </w:r>
      <w:r>
        <w:rPr>
          <w:rFonts w:ascii="GHEA Grapalat" w:hAnsi="GHEA Grapalat"/>
          <w:b/>
          <w:lang w:val="hy-AM"/>
        </w:rPr>
        <w:t xml:space="preserve"> դիմաց:</w:t>
      </w:r>
    </w:p>
    <w:p w:rsidR="00AB0565" w:rsidRPr="00477950" w:rsidRDefault="00D762C7" w:rsidP="00477950">
      <w:pPr>
        <w:spacing w:after="0" w:line="360" w:lineRule="auto"/>
        <w:ind w:firstLine="634"/>
        <w:contextualSpacing/>
        <w:jc w:val="both"/>
        <w:rPr>
          <w:rFonts w:ascii="GHEA Grapalat" w:hAnsi="GHEA Grapalat"/>
          <w:b/>
          <w:lang w:val="hy-AM"/>
        </w:rPr>
      </w:pPr>
      <w:r w:rsidRPr="00D762C7">
        <w:rPr>
          <w:rFonts w:ascii="GHEA Grapalat" w:hAnsi="GHEA Grapalat"/>
          <w:b/>
          <w:lang w:val="hy-AM"/>
        </w:rPr>
        <w:t xml:space="preserve">Բացի այդ, </w:t>
      </w:r>
      <w:r w:rsidR="0084175A" w:rsidRPr="00D762C7">
        <w:rPr>
          <w:rFonts w:ascii="GHEA Grapalat" w:hAnsi="GHEA Grapalat"/>
          <w:b/>
          <w:lang w:val="hy-AM"/>
        </w:rPr>
        <w:t xml:space="preserve">Դատարանը </w:t>
      </w:r>
      <w:r w:rsidRPr="00D762C7">
        <w:rPr>
          <w:rFonts w:ascii="GHEA Grapalat" w:hAnsi="GHEA Grapalat"/>
          <w:b/>
          <w:lang w:val="hy-AM"/>
        </w:rPr>
        <w:t xml:space="preserve">իր վճռում </w:t>
      </w:r>
      <w:r w:rsidR="0084175A" w:rsidRPr="00D762C7">
        <w:rPr>
          <w:rFonts w:ascii="GHEA Grapalat" w:hAnsi="GHEA Grapalat"/>
          <w:b/>
          <w:lang w:val="hy-AM"/>
        </w:rPr>
        <w:t>մատնանշել է, որ այն գործերում, որտեղ արձանագրվում է Կոնվենցիայի 6-րդ հոդվածի խախտում, դիմումատուի</w:t>
      </w:r>
      <w:r w:rsidRPr="00D762C7">
        <w:rPr>
          <w:rFonts w:ascii="GHEA Grapalat" w:hAnsi="GHEA Grapalat"/>
          <w:b/>
          <w:lang w:val="hy-AM"/>
        </w:rPr>
        <w:t>ն</w:t>
      </w:r>
      <w:r w:rsidR="0084175A" w:rsidRPr="00D762C7">
        <w:rPr>
          <w:rFonts w:ascii="GHEA Grapalat" w:hAnsi="GHEA Grapalat"/>
          <w:b/>
          <w:lang w:val="hy-AM"/>
        </w:rPr>
        <w:t xml:space="preserve"> հատուցում </w:t>
      </w:r>
      <w:r>
        <w:rPr>
          <w:rFonts w:ascii="GHEA Grapalat" w:hAnsi="GHEA Grapalat"/>
          <w:b/>
          <w:lang w:val="hy-AM"/>
        </w:rPr>
        <w:t xml:space="preserve">տրամադրելու </w:t>
      </w:r>
      <w:r w:rsidR="0084175A" w:rsidRPr="00D762C7">
        <w:rPr>
          <w:rFonts w:ascii="GHEA Grapalat" w:hAnsi="GHEA Grapalat"/>
          <w:b/>
          <w:lang w:val="hy-AM"/>
        </w:rPr>
        <w:t>լավագույն եղանակը տվյալ գործի վերաբացումն ու նոր քննությունն է</w:t>
      </w:r>
      <w:r w:rsidR="00477950">
        <w:rPr>
          <w:rFonts w:ascii="GHEA Grapalat" w:hAnsi="GHEA Grapalat"/>
          <w:b/>
          <w:lang w:val="hy-AM"/>
        </w:rPr>
        <w:t>՝</w:t>
      </w:r>
      <w:r w:rsidR="0084175A" w:rsidRPr="00D762C7">
        <w:rPr>
          <w:rFonts w:ascii="GHEA Grapalat" w:hAnsi="GHEA Grapalat"/>
          <w:b/>
          <w:lang w:val="hy-AM"/>
        </w:rPr>
        <w:t xml:space="preserve"> արդար դատաքննության բոլոր երաշխիքների պահպանմամբ:</w:t>
      </w:r>
    </w:p>
    <w:sectPr w:rsidR="00AB0565" w:rsidRPr="00477950" w:rsidSect="00FB706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503" w:rsidRDefault="00976503" w:rsidP="0085770A">
      <w:pPr>
        <w:spacing w:after="0" w:line="240" w:lineRule="auto"/>
      </w:pPr>
      <w:r>
        <w:separator/>
      </w:r>
    </w:p>
  </w:endnote>
  <w:endnote w:type="continuationSeparator" w:id="1">
    <w:p w:rsidR="00976503" w:rsidRDefault="00976503" w:rsidP="00857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13331"/>
      <w:docPartObj>
        <w:docPartGallery w:val="Page Numbers (Bottom of Page)"/>
        <w:docPartUnique/>
      </w:docPartObj>
    </w:sdtPr>
    <w:sdtContent>
      <w:p w:rsidR="0085770A" w:rsidRDefault="00CF01FD">
        <w:pPr>
          <w:pStyle w:val="Footer"/>
          <w:jc w:val="center"/>
        </w:pPr>
        <w:fldSimple w:instr=" PAGE   \* MERGEFORMAT ">
          <w:r w:rsidR="00D22E77">
            <w:rPr>
              <w:noProof/>
            </w:rPr>
            <w:t>4</w:t>
          </w:r>
        </w:fldSimple>
      </w:p>
    </w:sdtContent>
  </w:sdt>
  <w:p w:rsidR="0085770A" w:rsidRDefault="00857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503" w:rsidRDefault="00976503" w:rsidP="0085770A">
      <w:pPr>
        <w:spacing w:after="0" w:line="240" w:lineRule="auto"/>
      </w:pPr>
      <w:r>
        <w:separator/>
      </w:r>
    </w:p>
  </w:footnote>
  <w:footnote w:type="continuationSeparator" w:id="1">
    <w:p w:rsidR="00976503" w:rsidRDefault="00976503" w:rsidP="008577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3FD6"/>
    <w:multiLevelType w:val="hybridMultilevel"/>
    <w:tmpl w:val="805E14A4"/>
    <w:lvl w:ilvl="0" w:tplc="1B0E56E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B953D0"/>
    <w:rsid w:val="000313FE"/>
    <w:rsid w:val="000A6E2E"/>
    <w:rsid w:val="00171702"/>
    <w:rsid w:val="001E79F8"/>
    <w:rsid w:val="00222B51"/>
    <w:rsid w:val="002D7461"/>
    <w:rsid w:val="00306AC1"/>
    <w:rsid w:val="003178F7"/>
    <w:rsid w:val="003B23E8"/>
    <w:rsid w:val="003F0E8E"/>
    <w:rsid w:val="00477950"/>
    <w:rsid w:val="004C4361"/>
    <w:rsid w:val="00596D97"/>
    <w:rsid w:val="005C17F3"/>
    <w:rsid w:val="00635312"/>
    <w:rsid w:val="006706EF"/>
    <w:rsid w:val="006A5DBE"/>
    <w:rsid w:val="006F06C2"/>
    <w:rsid w:val="00713535"/>
    <w:rsid w:val="007A59FF"/>
    <w:rsid w:val="007E4AC7"/>
    <w:rsid w:val="00801BCD"/>
    <w:rsid w:val="0084175A"/>
    <w:rsid w:val="0085770A"/>
    <w:rsid w:val="00881FDE"/>
    <w:rsid w:val="008F098A"/>
    <w:rsid w:val="00976503"/>
    <w:rsid w:val="009C6814"/>
    <w:rsid w:val="00A00DCC"/>
    <w:rsid w:val="00A45F24"/>
    <w:rsid w:val="00AB0565"/>
    <w:rsid w:val="00AF1C63"/>
    <w:rsid w:val="00B953D0"/>
    <w:rsid w:val="00BE4ABB"/>
    <w:rsid w:val="00BF7F5E"/>
    <w:rsid w:val="00CF01FD"/>
    <w:rsid w:val="00D22E77"/>
    <w:rsid w:val="00D6064A"/>
    <w:rsid w:val="00D67D20"/>
    <w:rsid w:val="00D762C7"/>
    <w:rsid w:val="00DC0114"/>
    <w:rsid w:val="00EC3597"/>
    <w:rsid w:val="00F80ED5"/>
    <w:rsid w:val="00FB7064"/>
    <w:rsid w:val="00FE6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Para">
    <w:name w:val="ECHR_Para"/>
    <w:aliases w:val="Ju_Para,Para"/>
    <w:basedOn w:val="Normal"/>
    <w:link w:val="ECHRParaChar"/>
    <w:uiPriority w:val="12"/>
    <w:qFormat/>
    <w:rsid w:val="003F0E8E"/>
    <w:pPr>
      <w:spacing w:after="0" w:line="240" w:lineRule="auto"/>
      <w:ind w:firstLine="284"/>
      <w:jc w:val="both"/>
    </w:pPr>
    <w:rPr>
      <w:rFonts w:ascii="Calibri" w:eastAsia="Times New Roman" w:hAnsi="Calibri" w:cs="Times New Roman"/>
      <w:sz w:val="24"/>
      <w:lang w:val="hy-AM" w:eastAsia="hy-AM" w:bidi="hy-AM"/>
    </w:rPr>
  </w:style>
  <w:style w:type="character" w:customStyle="1" w:styleId="ECHRParaChar">
    <w:name w:val="ECHR_Para Char"/>
    <w:aliases w:val="Ju_Para Char"/>
    <w:link w:val="ECHRPara"/>
    <w:uiPriority w:val="12"/>
    <w:rsid w:val="003F0E8E"/>
    <w:rPr>
      <w:rFonts w:ascii="Calibri" w:eastAsia="Times New Roman" w:hAnsi="Calibri" w:cs="Times New Roman"/>
      <w:sz w:val="24"/>
      <w:lang w:val="hy-AM" w:eastAsia="hy-AM" w:bidi="hy-AM"/>
    </w:rPr>
  </w:style>
  <w:style w:type="paragraph" w:styleId="ListParagraph">
    <w:name w:val="List Paragraph"/>
    <w:basedOn w:val="Normal"/>
    <w:uiPriority w:val="34"/>
    <w:qFormat/>
    <w:rsid w:val="003F0E8E"/>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8577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770A"/>
  </w:style>
  <w:style w:type="paragraph" w:styleId="Footer">
    <w:name w:val="footer"/>
    <w:basedOn w:val="Normal"/>
    <w:link w:val="FooterChar"/>
    <w:uiPriority w:val="99"/>
    <w:unhideWhenUsed/>
    <w:rsid w:val="00857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316D-CC89-4B30-93F0-BCA0266F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M-Mkrtchyan</dc:creator>
  <cp:keywords/>
  <dc:description/>
  <cp:lastModifiedBy>Anna-Gevorgyan</cp:lastModifiedBy>
  <cp:revision>8</cp:revision>
  <cp:lastPrinted>2017-03-22T06:39:00Z</cp:lastPrinted>
  <dcterms:created xsi:type="dcterms:W3CDTF">2016-10-28T12:42:00Z</dcterms:created>
  <dcterms:modified xsi:type="dcterms:W3CDTF">2017-03-22T10:51:00Z</dcterms:modified>
</cp:coreProperties>
</file>