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6840"/>
        <w:gridCol w:w="4230"/>
        <w:gridCol w:w="72"/>
      </w:tblGrid>
      <w:tr w:rsidR="00080CB5" w:rsidRPr="00080CB5" w:rsidTr="0062070B">
        <w:tc>
          <w:tcPr>
            <w:tcW w:w="14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080CB5" w:rsidRDefault="00CC39E0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0CB5">
              <w:rPr>
                <w:rFonts w:ascii="GHEA Grapalat" w:hAnsi="GHEA Grapalat" w:cs="Sylfaen"/>
                <w:b/>
                <w:lang w:val="hy-AM"/>
              </w:rPr>
              <w:t xml:space="preserve">                                                                         </w:t>
            </w:r>
          </w:p>
          <w:p w:rsidR="00336C2D" w:rsidRPr="00080CB5" w:rsidRDefault="00336C2D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0CB5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18373E" w:rsidRPr="00080CB5" w:rsidRDefault="00B04DF7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0CB5">
              <w:rPr>
                <w:rFonts w:ascii="GHEA Grapalat" w:hAnsi="GHEA Grapalat" w:cs="Sylfaen"/>
                <w:b/>
                <w:lang w:val="hy-AM"/>
              </w:rPr>
              <w:t>«</w:t>
            </w:r>
            <w:proofErr w:type="spellStart"/>
            <w:r w:rsidR="00DF191D">
              <w:rPr>
                <w:rFonts w:ascii="GHEA Grapalat" w:hAnsi="GHEA Grapalat" w:cs="Sylfaen"/>
                <w:b/>
                <w:lang w:val="en-US"/>
              </w:rPr>
              <w:t>Լիազոր</w:t>
            </w:r>
            <w:proofErr w:type="spellEnd"/>
            <w:r w:rsidR="00DF191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DF191D">
              <w:rPr>
                <w:rFonts w:ascii="GHEA Grapalat" w:hAnsi="GHEA Grapalat" w:cs="Sylfaen"/>
                <w:b/>
                <w:lang w:val="en-US"/>
              </w:rPr>
              <w:t>մարմին</w:t>
            </w:r>
            <w:proofErr w:type="spellEnd"/>
            <w:r w:rsidR="00DF191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DF191D">
              <w:rPr>
                <w:rFonts w:ascii="GHEA Grapalat" w:hAnsi="GHEA Grapalat" w:cs="Sylfaen"/>
                <w:b/>
                <w:lang w:val="en-US"/>
              </w:rPr>
              <w:t>ճանաչելու</w:t>
            </w:r>
            <w:proofErr w:type="spellEnd"/>
            <w:r w:rsidR="00DF191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="00DF191D">
              <w:rPr>
                <w:rFonts w:ascii="GHEA Grapalat" w:hAnsi="GHEA Grapalat" w:cs="Sylfaen"/>
                <w:b/>
                <w:lang w:val="en-US"/>
              </w:rPr>
              <w:t>մասին</w:t>
            </w:r>
            <w:proofErr w:type="spellEnd"/>
            <w:r w:rsidR="006719AC" w:rsidRPr="00080CB5">
              <w:rPr>
                <w:rFonts w:ascii="GHEA Grapalat" w:hAnsi="GHEA Grapalat" w:cs="Sylfaen"/>
                <w:b/>
                <w:lang w:val="hy-AM"/>
              </w:rPr>
              <w:t>»</w:t>
            </w:r>
            <w:r w:rsidR="006719AC" w:rsidRPr="00080CB5">
              <w:rPr>
                <w:rFonts w:cs="Sylfaen"/>
                <w:kern w:val="32"/>
                <w:lang w:val="hy-AM"/>
              </w:rPr>
              <w:t xml:space="preserve"> </w:t>
            </w:r>
            <w:r w:rsidR="00336C2D" w:rsidRPr="00080CB5">
              <w:rPr>
                <w:rFonts w:ascii="GHEA Grapalat" w:hAnsi="GHEA Grapalat" w:cs="Sylfaen"/>
                <w:b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18373E" w:rsidRPr="00080CB5" w:rsidRDefault="0018373E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080CB5" w:rsidRPr="00080CB5" w:rsidTr="0062070B">
        <w:trPr>
          <w:gridAfter w:val="1"/>
          <w:wAfter w:w="72" w:type="dxa"/>
          <w:trHeight w:val="10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080CB5" w:rsidRDefault="00336C2D" w:rsidP="009E081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Առարկության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,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առաջարկության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հեղինակը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,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նախարարության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,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գերատեսչության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անվանումը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 </w:t>
            </w:r>
            <w:r w:rsidRPr="00080CB5">
              <w:rPr>
                <w:rFonts w:ascii="GHEA Grapalat" w:hAnsi="GHEA Grapalat"/>
                <w:b/>
                <w:sz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առարկության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,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առաջարկության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ստացման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 xml:space="preserve"> </w:t>
            </w:r>
            <w:r w:rsidRPr="00080CB5">
              <w:rPr>
                <w:rFonts w:ascii="GHEA Grapalat" w:hAnsi="GHEA Grapalat" w:cs="Sylfaen"/>
                <w:b/>
                <w:sz w:val="22"/>
                <w:lang w:val="hy-AM"/>
              </w:rPr>
              <w:t>ամսաթիվը</w:t>
            </w:r>
            <w:r w:rsidRPr="00080CB5">
              <w:rPr>
                <w:rFonts w:ascii="GHEA Grapalat" w:hAnsi="GHEA Grapalat" w:cs="Sylfaen"/>
                <w:b/>
                <w:sz w:val="22"/>
                <w:lang w:val="af-ZA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080CB5" w:rsidRDefault="00336C2D" w:rsidP="009E081A">
            <w:pPr>
              <w:jc w:val="center"/>
              <w:rPr>
                <w:rFonts w:ascii="GHEA Grapalat" w:hAnsi="GHEA Grapalat"/>
                <w:b/>
              </w:rPr>
            </w:pPr>
            <w:r w:rsidRPr="00080CB5">
              <w:rPr>
                <w:rFonts w:ascii="GHEA Grapalat" w:hAnsi="GHEA Grapalat" w:cs="Sylfaen"/>
                <w:b/>
                <w:sz w:val="22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080CB5" w:rsidRDefault="00336C2D" w:rsidP="009E081A">
            <w:pPr>
              <w:jc w:val="center"/>
              <w:rPr>
                <w:rFonts w:ascii="GHEA Grapalat" w:hAnsi="GHEA Grapalat" w:cs="Sylfaen"/>
                <w:b/>
              </w:rPr>
            </w:pPr>
            <w:r w:rsidRPr="00080CB5">
              <w:rPr>
                <w:rFonts w:ascii="GHEA Grapalat" w:hAnsi="GHEA Grapalat" w:cs="Sylfaen"/>
                <w:b/>
                <w:sz w:val="22"/>
              </w:rPr>
              <w:t>Եզրակացություն</w:t>
            </w:r>
          </w:p>
        </w:tc>
      </w:tr>
      <w:tr w:rsidR="00080CB5" w:rsidRPr="009152AC" w:rsidTr="0062070B">
        <w:trPr>
          <w:gridAfter w:val="1"/>
          <w:wAfter w:w="72" w:type="dxa"/>
          <w:trHeight w:val="24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73E" w:rsidRPr="00DF191D" w:rsidRDefault="00C775F1" w:rsidP="0018373E">
            <w:pPr>
              <w:rPr>
                <w:rFonts w:ascii="GHEA Grapalat" w:hAnsi="GHEA Grapalat" w:cs="Sylfaen"/>
                <w:lang w:val="hy-AM"/>
              </w:rPr>
            </w:pPr>
            <w:r w:rsidRPr="00080CB5">
              <w:rPr>
                <w:rFonts w:ascii="GHEA Grapalat" w:hAnsi="GHEA Grapalat" w:cs="Sylfaen"/>
                <w:sz w:val="22"/>
                <w:lang w:val="hy-AM"/>
              </w:rPr>
              <w:t>ՀՀ ֆինանսների նախարարություն</w:t>
            </w:r>
          </w:p>
          <w:p w:rsidR="00C775F1" w:rsidRPr="00080CB5" w:rsidRDefault="00C775F1" w:rsidP="006719AC">
            <w:pPr>
              <w:rPr>
                <w:rFonts w:ascii="GHEA Grapalat" w:hAnsi="GHEA Grapalat" w:cs="Sylfaen"/>
                <w:lang w:val="hy-AM"/>
              </w:rPr>
            </w:pPr>
            <w:r w:rsidRPr="00080CB5">
              <w:rPr>
                <w:rFonts w:ascii="GHEA Grapalat" w:hAnsi="GHEA Grapalat" w:cs="Sylfaen"/>
                <w:sz w:val="22"/>
                <w:lang w:val="hy-AM"/>
              </w:rPr>
              <w:t>(</w:t>
            </w:r>
            <w:r w:rsidR="00DF191D" w:rsidRPr="00DF191D">
              <w:rPr>
                <w:rFonts w:ascii="GHEA Grapalat" w:hAnsi="GHEA Grapalat" w:cs="Sylfaen"/>
                <w:sz w:val="22"/>
                <w:lang w:val="hy-AM"/>
              </w:rPr>
              <w:t>28.02</w:t>
            </w:r>
            <w:r w:rsidR="009E081A" w:rsidRPr="00080CB5">
              <w:rPr>
                <w:rFonts w:ascii="GHEA Grapalat" w:hAnsi="GHEA Grapalat" w:cs="Sylfaen"/>
                <w:sz w:val="22"/>
                <w:lang w:val="hy-AM"/>
              </w:rPr>
              <w:t>.2019թ. N</w:t>
            </w:r>
            <w:r w:rsidR="00DF191D" w:rsidRPr="00DF191D">
              <w:rPr>
                <w:rFonts w:ascii="GHEA Grapalat" w:hAnsi="GHEA Grapalat" w:cs="Sylfaen"/>
                <w:sz w:val="22"/>
                <w:lang w:val="hy-AM"/>
              </w:rPr>
              <w:t xml:space="preserve"> 01/2-4/3191-19</w:t>
            </w:r>
            <w:r w:rsidRPr="00080CB5"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91D" w:rsidRPr="00217F0E" w:rsidRDefault="00DD7531" w:rsidP="00DF191D">
            <w:pPr>
              <w:ind w:firstLine="562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en-US"/>
              </w:rPr>
              <w:t>Գ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>տնում են, որ նախագծին հետա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դարձ ուժ տալու անհրաժեշտությունը բացակայում է՝ հաշվի առնելով այն հանգա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մանքը, որ նախագծով ընդամենը սահ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ման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վում է էլեկտրաէներգիայի հաղորդման և բաշխ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ման, բնական գազի փոխադրման և բաշխ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ման ոլորտներում գործունեություն իրականացնող տնտե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սավարող սուբյեկտների հարկ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ման բազայի որոշման նպատակով տեխնոլոգիական կորուստ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>ները հաստատող լիա</w:t>
            </w:r>
            <w:r w:rsidR="00DF191D" w:rsidRPr="00217F0E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softHyphen/>
              <w:t xml:space="preserve">զոր մարմինը:  </w:t>
            </w:r>
          </w:p>
          <w:p w:rsidR="00BC6CAF" w:rsidRPr="00217F0E" w:rsidRDefault="00BC6CAF" w:rsidP="009E081A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CAF" w:rsidRPr="00217F0E" w:rsidRDefault="00BC6CAF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775F1" w:rsidRPr="00217F0E" w:rsidRDefault="00C775F1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C775F1" w:rsidRPr="00217F0E" w:rsidRDefault="00C775F1" w:rsidP="001858FF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217F0E" w:rsidRPr="0062070B" w:rsidRDefault="00217F0E" w:rsidP="00217F0E">
            <w:pPr>
              <w:jc w:val="both"/>
              <w:rPr>
                <w:rFonts w:ascii="GHEA Grapalat" w:hAnsi="GHEA Grapalat"/>
                <w:lang w:val="hy-AM"/>
              </w:rPr>
            </w:pPr>
            <w:r w:rsidRPr="0062070B">
              <w:rPr>
                <w:rFonts w:ascii="GHEA Grapalat" w:hAnsi="GHEA Grapalat" w:cs="Sylfaen"/>
                <w:sz w:val="22"/>
                <w:lang w:val="hy-AM"/>
              </w:rPr>
              <w:t>Առաջարկությունը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աշխատանքային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կարգով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քննարկվել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է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Ֆիննախի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E4273B" w:rsidRPr="0062070B">
              <w:rPr>
                <w:rFonts w:ascii="GHEA Grapalat" w:hAnsi="GHEA Grapalat"/>
                <w:sz w:val="22"/>
                <w:lang w:val="hy-AM"/>
              </w:rPr>
              <w:t xml:space="preserve">հետ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համաձայնություն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է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ձեռք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բերվել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հետադարձ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ուժի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նորմը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թողնել</w:t>
            </w:r>
            <w:r w:rsidRPr="0062070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2070B">
              <w:rPr>
                <w:rFonts w:ascii="GHEA Grapalat" w:hAnsi="GHEA Grapalat" w:cs="Sylfaen"/>
                <w:sz w:val="22"/>
                <w:lang w:val="hy-AM"/>
              </w:rPr>
              <w:t>նախագծում</w:t>
            </w:r>
            <w:r w:rsidRPr="0062070B">
              <w:rPr>
                <w:rFonts w:ascii="GHEA Grapalat" w:hAnsi="GHEA Grapalat"/>
                <w:sz w:val="22"/>
                <w:lang w:val="hy-AM"/>
              </w:rPr>
              <w:t>:</w:t>
            </w:r>
          </w:p>
          <w:p w:rsidR="00C775F1" w:rsidRPr="00217F0E" w:rsidRDefault="00C775F1" w:rsidP="00B04DF7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080CB5" w:rsidRPr="009152AC" w:rsidTr="0062070B">
        <w:trPr>
          <w:gridAfter w:val="1"/>
          <w:wAfter w:w="72" w:type="dxa"/>
          <w:trHeight w:val="10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5" w:rsidRPr="00DF191D" w:rsidRDefault="00080CB5" w:rsidP="00080CB5">
            <w:pPr>
              <w:rPr>
                <w:rFonts w:ascii="GHEA Grapalat" w:hAnsi="GHEA Grapalat" w:cs="Sylfaen"/>
                <w:lang w:val="hy-AM"/>
              </w:rPr>
            </w:pPr>
            <w:r w:rsidRPr="00080CB5">
              <w:rPr>
                <w:rFonts w:ascii="GHEA Grapalat" w:hAnsi="GHEA Grapalat" w:cs="Sylfaen"/>
                <w:sz w:val="22"/>
                <w:lang w:val="hy-AM"/>
              </w:rPr>
              <w:t>ՀՀ հանրային ծառայությունները կարգավորող հանձնաժողով</w:t>
            </w:r>
          </w:p>
          <w:p w:rsidR="00080CB5" w:rsidRPr="0062070B" w:rsidRDefault="00080CB5" w:rsidP="00DF191D">
            <w:pPr>
              <w:rPr>
                <w:rFonts w:ascii="GHEA Grapalat" w:hAnsi="GHEA Grapalat" w:cs="Sylfaen"/>
                <w:lang w:val="hy-AM"/>
              </w:rPr>
            </w:pPr>
            <w:r w:rsidRPr="00080CB5">
              <w:rPr>
                <w:rFonts w:ascii="GHEA Grapalat" w:hAnsi="GHEA Grapalat" w:cs="Sylfaen"/>
                <w:sz w:val="22"/>
                <w:lang w:val="hy-AM"/>
              </w:rPr>
              <w:t>(</w:t>
            </w:r>
            <w:r w:rsidR="00DF191D" w:rsidRPr="00DF191D">
              <w:rPr>
                <w:rFonts w:ascii="GHEA Grapalat" w:hAnsi="GHEA Grapalat" w:cs="Sylfaen"/>
                <w:sz w:val="22"/>
                <w:lang w:val="hy-AM"/>
              </w:rPr>
              <w:t>27.02.2019</w:t>
            </w:r>
            <w:r w:rsidRPr="00080CB5">
              <w:rPr>
                <w:rFonts w:ascii="GHEA Grapalat" w:hAnsi="GHEA Grapalat" w:cs="Sylfaen"/>
                <w:sz w:val="22"/>
                <w:lang w:val="hy-AM"/>
              </w:rPr>
              <w:t>թ. N</w:t>
            </w:r>
            <w:r w:rsidR="00DF191D" w:rsidRPr="00DF191D">
              <w:rPr>
                <w:rFonts w:ascii="GHEA Grapalat" w:hAnsi="GHEA Grapalat" w:cs="Sylfaen"/>
                <w:sz w:val="22"/>
                <w:lang w:val="hy-AM"/>
              </w:rPr>
              <w:t xml:space="preserve"> ՄՍ/2.3-66/267-19</w:t>
            </w:r>
            <w:r w:rsidRPr="00080CB5"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5" w:rsidRPr="00E4273B" w:rsidRDefault="00080CB5" w:rsidP="00DF191D">
            <w:pPr>
              <w:ind w:firstLine="562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 xml:space="preserve">Որոշման նախագծի վերաբերյալ </w:t>
            </w:r>
            <w:r w:rsidR="00DF191D"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 xml:space="preserve"> առարկություններ և առաջարկություններ չկան</w:t>
            </w: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5" w:rsidRPr="00E4273B" w:rsidRDefault="00080CB5" w:rsidP="00080CB5">
            <w:pPr>
              <w:spacing w:line="276" w:lineRule="auto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</w:p>
        </w:tc>
      </w:tr>
      <w:tr w:rsidR="00E4273B" w:rsidRPr="009152AC" w:rsidTr="0062070B">
        <w:trPr>
          <w:gridAfter w:val="1"/>
          <w:wAfter w:w="72" w:type="dxa"/>
          <w:trHeight w:val="10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Pr="0062070B" w:rsidRDefault="00E4273B" w:rsidP="00080CB5">
            <w:pPr>
              <w:rPr>
                <w:rFonts w:ascii="GHEA Grapalat" w:hAnsi="GHEA Grapalat" w:cs="Sylfaen"/>
                <w:lang w:val="hy-AM"/>
              </w:rPr>
            </w:pPr>
            <w:r w:rsidRPr="0062070B">
              <w:rPr>
                <w:rFonts w:ascii="GHEA Grapalat" w:hAnsi="GHEA Grapalat" w:cs="Sylfaen"/>
                <w:sz w:val="22"/>
                <w:lang w:val="hy-AM"/>
              </w:rPr>
              <w:t>ՀՀ պետական եկամուտների կոմիտե</w:t>
            </w:r>
          </w:p>
          <w:p w:rsidR="00E4273B" w:rsidRPr="0062070B" w:rsidRDefault="00E4273B" w:rsidP="00080CB5">
            <w:pPr>
              <w:rPr>
                <w:rFonts w:ascii="Sylfaen" w:hAnsi="Sylfaen"/>
                <w:sz w:val="21"/>
                <w:szCs w:val="21"/>
                <w:lang w:val="hy-AM"/>
              </w:rPr>
            </w:pPr>
            <w:r w:rsidRPr="0062070B">
              <w:rPr>
                <w:rFonts w:ascii="GHEA Grapalat" w:hAnsi="GHEA Grapalat" w:cs="Sylfaen"/>
                <w:sz w:val="22"/>
                <w:lang w:val="hy-AM"/>
              </w:rPr>
              <w:t>(05.03.2019թ. N/3-3/2064-2019)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Pr="00E4273B" w:rsidRDefault="00E4273B" w:rsidP="00E4273B">
            <w:pPr>
              <w:tabs>
                <w:tab w:val="left" w:pos="-7088"/>
              </w:tabs>
              <w:ind w:hanging="426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 xml:space="preserve">ՀՀ </w:t>
            </w:r>
            <w:r w:rsidRPr="0062070B">
              <w:rPr>
                <w:rFonts w:ascii="GHEA Grapalat" w:eastAsia="Calibri" w:hAnsi="GHEA Grapalat" w:cs="Sylfaen"/>
                <w:lang w:val="hy-AM"/>
              </w:rPr>
              <w:t xml:space="preserve">     </w:t>
            </w: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>Նախագծի վերաբերյալ հայտնում են հետևյալը.</w:t>
            </w:r>
          </w:p>
          <w:p w:rsidR="00DD7531" w:rsidRDefault="00E4273B" w:rsidP="00E4273B">
            <w:pPr>
              <w:tabs>
                <w:tab w:val="left" w:pos="-7088"/>
              </w:tabs>
              <w:ind w:hanging="426"/>
              <w:jc w:val="both"/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en-US"/>
              </w:rPr>
            </w:pP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 xml:space="preserve">ՀՀ  ՀՀ հարկային օրենսգրքի 122-րդ հոդվածի 5-րդ մասի 3-րդ կետի համաձայն` նույն մասի կիրառության իմաստով գույքի տեխնոլոգիական կորուստ են համարվում օրենսդրությամբ կամ Կառավարության լիազոր մարմնի սահմանած տեխնոլոգիական կորուստները: </w:t>
            </w:r>
            <w:r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>Կարծում են</w:t>
            </w: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 xml:space="preserve">, բացակայում է լիազոր մարմին ճանաչելու անհրաժեշտությունը, այնուհանդերձ </w:t>
            </w:r>
            <w:r w:rsidRPr="0062070B">
              <w:rPr>
                <w:rFonts w:ascii="GHEA Grapalat" w:hAnsi="GHEA Grapalat"/>
                <w:bCs/>
                <w:color w:val="000000"/>
                <w:sz w:val="22"/>
                <w:u w:val="single"/>
                <w:shd w:val="clear" w:color="auto" w:fill="FFFFFF"/>
                <w:lang w:val="hy-AM"/>
              </w:rPr>
              <w:t>հայտնում են, որ նախագծի վերաբերյալ առարկություններ չկան:</w:t>
            </w: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</w:p>
          <w:p w:rsidR="00E4273B" w:rsidRPr="00E4273B" w:rsidRDefault="00E4273B" w:rsidP="00DD7531">
            <w:pPr>
              <w:tabs>
                <w:tab w:val="left" w:pos="-7088"/>
              </w:tabs>
              <w:ind w:firstLine="342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lastRenderedPageBreak/>
              <w:t>Միաժամանակ հայտնում են, որ բացակայում է նաև նախագծի` 2018 թվականի հունվարի 1-ից հետո ծագող (ծագած) հարաբերությունների վրա տարածելու անհրաժեշտությունը:</w:t>
            </w:r>
          </w:p>
          <w:p w:rsidR="00E4273B" w:rsidRPr="00E4273B" w:rsidRDefault="00E4273B" w:rsidP="00DF191D">
            <w:pPr>
              <w:ind w:firstLine="562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Pr="00DD7531" w:rsidRDefault="00E4273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</w:p>
          <w:p w:rsidR="00DD7531" w:rsidRPr="00DD7531" w:rsidRDefault="00DD7531" w:rsidP="00DD7531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</w:p>
          <w:p w:rsidR="00DD7531" w:rsidRPr="00DD7531" w:rsidRDefault="00DD7531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9152AC">
              <w:rPr>
                <w:rFonts w:ascii="GHEA Grapalat" w:hAnsi="GHEA Grapalat" w:cs="Sylfaen"/>
                <w:sz w:val="22"/>
                <w:lang w:val="hy-AM"/>
              </w:rPr>
              <w:lastRenderedPageBreak/>
              <w:t>Առաջարկությունը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աշխատանքային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կարգով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քննարկվել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է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ՊԵԿ-ի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հետ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համաձայնություն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է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ձեռք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բերվել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հետադարձ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ուժի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նորմը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թողնել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152AC">
              <w:rPr>
                <w:rFonts w:ascii="GHEA Grapalat" w:hAnsi="GHEA Grapalat" w:cs="Sylfaen"/>
                <w:sz w:val="22"/>
                <w:lang w:val="hy-AM"/>
              </w:rPr>
              <w:t>նախագծում</w:t>
            </w:r>
            <w:r w:rsidRPr="00DD7531">
              <w:rPr>
                <w:rFonts w:ascii="GHEA Grapalat" w:hAnsi="GHEA Grapalat" w:cs="Sylfaen"/>
                <w:sz w:val="22"/>
                <w:lang w:val="hy-AM"/>
              </w:rPr>
              <w:t>:</w:t>
            </w:r>
          </w:p>
          <w:p w:rsidR="0062070B" w:rsidRPr="00DD7531" w:rsidRDefault="0062070B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E4273B" w:rsidRPr="0062070B" w:rsidTr="0062070B">
        <w:trPr>
          <w:gridAfter w:val="1"/>
          <w:wAfter w:w="72" w:type="dxa"/>
          <w:trHeight w:val="10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Default="00E4273B" w:rsidP="00080CB5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lang w:val="en-US"/>
              </w:rPr>
              <w:t>նախարարություն</w:t>
            </w:r>
            <w:proofErr w:type="spellEnd"/>
          </w:p>
          <w:p w:rsidR="008264DD" w:rsidRPr="008264DD" w:rsidRDefault="008264DD" w:rsidP="00080CB5">
            <w:pPr>
              <w:rPr>
                <w:rFonts w:ascii="GHEA Grapalat" w:hAnsi="GHEA Grapalat" w:cs="Sylfaen"/>
                <w:lang w:val="en-US"/>
              </w:rPr>
            </w:pPr>
            <w:r w:rsidRPr="008264DD">
              <w:rPr>
                <w:rFonts w:ascii="GHEA Grapalat" w:hAnsi="GHEA Grapalat" w:cs="Sylfaen"/>
                <w:sz w:val="22"/>
                <w:lang w:val="en-US"/>
              </w:rPr>
              <w:t>(04.03.20192. N01/14/4435-19)</w:t>
            </w:r>
          </w:p>
          <w:p w:rsidR="00E4273B" w:rsidRPr="00E4273B" w:rsidRDefault="00E4273B" w:rsidP="00080CB5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Pr="008264DD" w:rsidRDefault="00E4273B" w:rsidP="008264DD">
            <w:pPr>
              <w:ind w:firstLine="562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</w:pPr>
            <w:r w:rsidRPr="00E4273B">
              <w:rPr>
                <w:rFonts w:ascii="GHEA Grapalat" w:hAnsi="GHEA Grapalat"/>
                <w:bCs/>
                <w:color w:val="000000"/>
                <w:sz w:val="22"/>
                <w:shd w:val="clear" w:color="auto" w:fill="FFFFFF"/>
                <w:lang w:val="hy-AM"/>
              </w:rPr>
              <w:t>Նախագծի 2-րդ կետից անհրաժեշտ է հանել պաշտոնական հրապարակմանը վերաբերող դրույթները՝ նկատի ունենալով «Նորմատիվ իրավական ակտերի մասին» Հայաստանի Հանրապետության օրենքի 23-րդ հոդվածի 6-րդ մասի պահանջները: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3B" w:rsidRPr="00DD7531" w:rsidRDefault="009152AC" w:rsidP="00DD7531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proofErr w:type="spellStart"/>
            <w:r w:rsidRPr="00DD7531">
              <w:rPr>
                <w:rFonts w:ascii="GHEA Grapalat" w:hAnsi="GHEA Grapalat" w:cs="Sylfaen"/>
                <w:sz w:val="22"/>
                <w:lang w:val="hy-AM"/>
              </w:rPr>
              <w:t>Ընդունվել</w:t>
            </w:r>
            <w:proofErr w:type="spellEnd"/>
            <w:r w:rsidRPr="00DD7531">
              <w:rPr>
                <w:rFonts w:ascii="GHEA Grapalat" w:hAnsi="GHEA Grapalat" w:cs="Sylfaen"/>
                <w:sz w:val="22"/>
                <w:lang w:val="hy-AM"/>
              </w:rPr>
              <w:t xml:space="preserve"> է:</w:t>
            </w:r>
          </w:p>
        </w:tc>
      </w:tr>
    </w:tbl>
    <w:p w:rsidR="00915198" w:rsidRPr="00080CB5" w:rsidRDefault="00915198">
      <w:pPr>
        <w:rPr>
          <w:rFonts w:ascii="GHEA Grapalat" w:hAnsi="GHEA Grapalat"/>
          <w:sz w:val="22"/>
          <w:lang w:val="hy-AM"/>
        </w:rPr>
      </w:pPr>
    </w:p>
    <w:p w:rsidR="004E16BE" w:rsidRPr="00080CB5" w:rsidRDefault="004E16BE">
      <w:pPr>
        <w:rPr>
          <w:rFonts w:ascii="GHEA Grapalat" w:hAnsi="GHEA Grapalat"/>
          <w:lang w:val="hy-AM"/>
        </w:rPr>
      </w:pPr>
    </w:p>
    <w:p w:rsidR="004E16BE" w:rsidRPr="00080CB5" w:rsidRDefault="004E16BE">
      <w:pPr>
        <w:rPr>
          <w:rFonts w:ascii="GHEA Grapalat" w:hAnsi="GHEA Grapalat"/>
          <w:lang w:val="hy-AM"/>
        </w:rPr>
      </w:pPr>
    </w:p>
    <w:p w:rsidR="004E16BE" w:rsidRPr="00080CB5" w:rsidRDefault="004E16BE">
      <w:pPr>
        <w:rPr>
          <w:rFonts w:ascii="GHEA Grapalat" w:hAnsi="GHEA Grapalat"/>
          <w:lang w:val="hy-AM"/>
        </w:rPr>
      </w:pPr>
    </w:p>
    <w:sectPr w:rsidR="004E16BE" w:rsidRPr="00080CB5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080CB5"/>
    <w:rsid w:val="00117120"/>
    <w:rsid w:val="00151484"/>
    <w:rsid w:val="0018373E"/>
    <w:rsid w:val="001858FF"/>
    <w:rsid w:val="001B3A41"/>
    <w:rsid w:val="001F3D8A"/>
    <w:rsid w:val="002127C2"/>
    <w:rsid w:val="00217F0E"/>
    <w:rsid w:val="00242CB4"/>
    <w:rsid w:val="00252E74"/>
    <w:rsid w:val="00287403"/>
    <w:rsid w:val="002D6989"/>
    <w:rsid w:val="002E3961"/>
    <w:rsid w:val="002E4B39"/>
    <w:rsid w:val="00334833"/>
    <w:rsid w:val="00336C2D"/>
    <w:rsid w:val="003443A5"/>
    <w:rsid w:val="0035051C"/>
    <w:rsid w:val="004046EC"/>
    <w:rsid w:val="00416190"/>
    <w:rsid w:val="004474FD"/>
    <w:rsid w:val="00494410"/>
    <w:rsid w:val="004E16BE"/>
    <w:rsid w:val="00561E5B"/>
    <w:rsid w:val="005871D4"/>
    <w:rsid w:val="005C7E0D"/>
    <w:rsid w:val="005D3EF6"/>
    <w:rsid w:val="005E7A9E"/>
    <w:rsid w:val="0060190E"/>
    <w:rsid w:val="00615EA5"/>
    <w:rsid w:val="0062070B"/>
    <w:rsid w:val="006357D6"/>
    <w:rsid w:val="006719AC"/>
    <w:rsid w:val="007049AE"/>
    <w:rsid w:val="007B45E9"/>
    <w:rsid w:val="007B4A89"/>
    <w:rsid w:val="007D0867"/>
    <w:rsid w:val="007F7B5A"/>
    <w:rsid w:val="008264DD"/>
    <w:rsid w:val="008630BC"/>
    <w:rsid w:val="00877F0F"/>
    <w:rsid w:val="0088074E"/>
    <w:rsid w:val="00890509"/>
    <w:rsid w:val="008A5841"/>
    <w:rsid w:val="008C16A0"/>
    <w:rsid w:val="00915198"/>
    <w:rsid w:val="009152AC"/>
    <w:rsid w:val="00942EEC"/>
    <w:rsid w:val="009E081A"/>
    <w:rsid w:val="009E7CB9"/>
    <w:rsid w:val="00A109D8"/>
    <w:rsid w:val="00A30BAC"/>
    <w:rsid w:val="00AB4237"/>
    <w:rsid w:val="00B04DF7"/>
    <w:rsid w:val="00B86F23"/>
    <w:rsid w:val="00BB282B"/>
    <w:rsid w:val="00BC6CAF"/>
    <w:rsid w:val="00BE5616"/>
    <w:rsid w:val="00C452F4"/>
    <w:rsid w:val="00C71679"/>
    <w:rsid w:val="00C775F1"/>
    <w:rsid w:val="00C847F7"/>
    <w:rsid w:val="00CC39E0"/>
    <w:rsid w:val="00D22A3D"/>
    <w:rsid w:val="00DD7531"/>
    <w:rsid w:val="00DD7CE3"/>
    <w:rsid w:val="00DE2107"/>
    <w:rsid w:val="00DF191D"/>
    <w:rsid w:val="00E02F34"/>
    <w:rsid w:val="00E0579D"/>
    <w:rsid w:val="00E11553"/>
    <w:rsid w:val="00E4273B"/>
    <w:rsid w:val="00E66EB0"/>
    <w:rsid w:val="00EA68C2"/>
    <w:rsid w:val="00EF3C0F"/>
    <w:rsid w:val="00F05745"/>
    <w:rsid w:val="00F4264C"/>
    <w:rsid w:val="00F92E3B"/>
    <w:rsid w:val="00FE75D9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MERI_GRIGORYAN</cp:lastModifiedBy>
  <cp:revision>7</cp:revision>
  <cp:lastPrinted>2018-03-13T11:45:00Z</cp:lastPrinted>
  <dcterms:created xsi:type="dcterms:W3CDTF">2019-03-05T05:46:00Z</dcterms:created>
  <dcterms:modified xsi:type="dcterms:W3CDTF">2019-03-05T06:11:00Z</dcterms:modified>
  <cp:keywords>https://mul2.gov.am/tasks/37202/oneclick/2Ampopatertik.docx?token=3c81a64d1c7f12259b525e5cdc4f7db8</cp:keywords>
</cp:coreProperties>
</file>