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04" w:rsidRDefault="00BF4104" w:rsidP="00BF4104">
      <w:pPr>
        <w:jc w:val="center"/>
        <w:rPr>
          <w:b/>
        </w:rPr>
      </w:pPr>
      <w:r>
        <w:rPr>
          <w:b/>
        </w:rPr>
        <w:t>ԱՄՓՈՓԱԹԵՐԹ</w:t>
      </w:r>
    </w:p>
    <w:p w:rsidR="00A1693F" w:rsidRDefault="00BF4104" w:rsidP="00BF4104">
      <w:pPr>
        <w:jc w:val="center"/>
        <w:rPr>
          <w:b/>
          <w:color w:val="000000"/>
        </w:rPr>
      </w:pPr>
      <w:r w:rsidRPr="005418D8">
        <w:rPr>
          <w:b/>
          <w:lang w:val="hy-AM"/>
        </w:rPr>
        <w:t>«</w:t>
      </w:r>
      <w:r>
        <w:rPr>
          <w:b/>
        </w:rPr>
        <w:t>«</w:t>
      </w:r>
      <w:r>
        <w:rPr>
          <w:b/>
          <w:lang w:val="hy-AM"/>
        </w:rPr>
        <w:t>Ապահովագրության և ապահովագրական գործունեության մասին</w:t>
      </w:r>
      <w:r w:rsidRPr="005418D8">
        <w:rPr>
          <w:b/>
          <w:lang w:val="hy-AM"/>
        </w:rPr>
        <w:t>»</w:t>
      </w:r>
      <w:r>
        <w:rPr>
          <w:b/>
          <w:lang w:val="hy-AM"/>
        </w:rPr>
        <w:t xml:space="preserve"> ՀՀ օրենքում լրացումներ կատարելու մասին</w:t>
      </w:r>
      <w:r w:rsidRPr="005418D8">
        <w:rPr>
          <w:b/>
          <w:lang w:val="hy-AM"/>
        </w:rPr>
        <w:t>»</w:t>
      </w:r>
      <w:r>
        <w:rPr>
          <w:b/>
          <w:lang w:val="hy-AM"/>
        </w:rPr>
        <w:t xml:space="preserve">, </w:t>
      </w:r>
      <w:r>
        <w:rPr>
          <w:b/>
        </w:rPr>
        <w:t>,«</w:t>
      </w:r>
      <w:r w:rsidRPr="005418D8">
        <w:rPr>
          <w:b/>
          <w:lang w:val="hy-AM"/>
        </w:rPr>
        <w:t>«</w:t>
      </w:r>
      <w:r>
        <w:rPr>
          <w:b/>
          <w:lang w:val="hy-AM"/>
        </w:rPr>
        <w:t>Գրավատների և գրավատնային գործունեության մասին</w:t>
      </w:r>
      <w:r w:rsidRPr="005418D8">
        <w:rPr>
          <w:b/>
          <w:lang w:val="hy-AM"/>
        </w:rPr>
        <w:t>»</w:t>
      </w:r>
      <w:r>
        <w:rPr>
          <w:b/>
          <w:lang w:val="hy-AM"/>
        </w:rPr>
        <w:t xml:space="preserve"> ՀՀ օրենքում լրացումներ կատարելու մասին</w:t>
      </w:r>
      <w:r w:rsidRPr="005418D8">
        <w:rPr>
          <w:b/>
          <w:lang w:val="hy-AM"/>
        </w:rPr>
        <w:t>»</w:t>
      </w:r>
      <w:r>
        <w:rPr>
          <w:b/>
          <w:lang w:val="hy-AM"/>
        </w:rPr>
        <w:t xml:space="preserve">, </w:t>
      </w:r>
      <w:r w:rsidRPr="005418D8">
        <w:rPr>
          <w:b/>
          <w:lang w:val="hy-AM"/>
        </w:rPr>
        <w:t>«</w:t>
      </w:r>
      <w:r>
        <w:rPr>
          <w:b/>
        </w:rPr>
        <w:t>«</w:t>
      </w:r>
      <w:r>
        <w:rPr>
          <w:b/>
          <w:lang w:val="hy-AM"/>
        </w:rPr>
        <w:t>Վճարահաշվարկային համակարգերի և վճարահաշվարկային կազմակերպությունների մասին</w:t>
      </w:r>
      <w:r w:rsidRPr="005418D8">
        <w:rPr>
          <w:b/>
          <w:lang w:val="hy-AM"/>
        </w:rPr>
        <w:t>»</w:t>
      </w:r>
      <w:r w:rsidRPr="00DF084C">
        <w:rPr>
          <w:b/>
          <w:lang w:val="hy-AM"/>
        </w:rPr>
        <w:t xml:space="preserve"> ՀՀ օրենքում լրացումներ կատարելու մասին</w:t>
      </w:r>
      <w:r w:rsidRPr="005418D8">
        <w:rPr>
          <w:b/>
          <w:lang w:val="hy-AM"/>
        </w:rPr>
        <w:t>»</w:t>
      </w:r>
      <w:r w:rsidRPr="00DF084C">
        <w:rPr>
          <w:b/>
          <w:lang w:val="hy-AM"/>
        </w:rPr>
        <w:t xml:space="preserve">, </w:t>
      </w:r>
      <w:r>
        <w:rPr>
          <w:b/>
        </w:rPr>
        <w:t>«</w:t>
      </w:r>
      <w:r w:rsidRPr="005418D8">
        <w:rPr>
          <w:b/>
          <w:lang w:val="hy-AM"/>
        </w:rPr>
        <w:t>«</w:t>
      </w:r>
      <w:r w:rsidRPr="005418D8">
        <w:rPr>
          <w:b/>
          <w:color w:val="000000"/>
          <w:lang w:val="hy-AM"/>
        </w:rPr>
        <w:t>Արժութային կարգավորման և արժութային վերահսկողության մասին» Հայաստանի Հանրապետության</w:t>
      </w:r>
      <w:r w:rsidRPr="005418D8">
        <w:rPr>
          <w:b/>
          <w:lang w:val="hy-AM"/>
        </w:rPr>
        <w:t xml:space="preserve"> </w:t>
      </w:r>
      <w:r w:rsidRPr="00DF084C">
        <w:rPr>
          <w:b/>
          <w:lang w:val="hy-AM"/>
        </w:rPr>
        <w:t>լրացում կատարելու մասին</w:t>
      </w:r>
      <w:r>
        <w:rPr>
          <w:b/>
        </w:rPr>
        <w:t xml:space="preserve">» </w:t>
      </w:r>
      <w:r w:rsidRPr="005418D8">
        <w:rPr>
          <w:b/>
          <w:color w:val="000000"/>
          <w:lang w:val="hy-AM"/>
        </w:rPr>
        <w:t>Հ</w:t>
      </w:r>
      <w:r>
        <w:rPr>
          <w:b/>
          <w:color w:val="000000"/>
          <w:lang w:val="hy-AM"/>
        </w:rPr>
        <w:t>Հ օրենքում լրացումներ կատարելու մասին</w:t>
      </w:r>
      <w:r w:rsidRPr="005418D8">
        <w:rPr>
          <w:b/>
          <w:color w:val="000000"/>
          <w:lang w:val="hy-AM"/>
        </w:rPr>
        <w:t>»</w:t>
      </w:r>
      <w:r w:rsidR="001C13BC">
        <w:rPr>
          <w:b/>
          <w:color w:val="000000"/>
        </w:rPr>
        <w:t xml:space="preserve"> </w:t>
      </w:r>
      <w:r>
        <w:rPr>
          <w:b/>
          <w:color w:val="000000"/>
          <w:lang w:val="hy-AM"/>
        </w:rPr>
        <w:t>ՀՀ օրենքների</w:t>
      </w:r>
      <w:r>
        <w:rPr>
          <w:b/>
          <w:color w:val="000000"/>
        </w:rPr>
        <w:t xml:space="preserve"> նախագծերի առաջարկությունների և դիտողությունների</w:t>
      </w:r>
    </w:p>
    <w:tbl>
      <w:tblPr>
        <w:tblStyle w:val="TableGrid"/>
        <w:tblW w:w="9757" w:type="dxa"/>
        <w:tblLook w:val="04A0" w:firstRow="1" w:lastRow="0" w:firstColumn="1" w:lastColumn="0" w:noHBand="0" w:noVBand="1"/>
      </w:tblPr>
      <w:tblGrid>
        <w:gridCol w:w="454"/>
        <w:gridCol w:w="2626"/>
        <w:gridCol w:w="3691"/>
        <w:gridCol w:w="2986"/>
      </w:tblGrid>
      <w:tr w:rsidR="00FC36C4" w:rsidRPr="00BC0629" w:rsidTr="00CC441B">
        <w:tc>
          <w:tcPr>
            <w:tcW w:w="454" w:type="dxa"/>
          </w:tcPr>
          <w:p w:rsidR="00BF4104" w:rsidRDefault="00BF4104" w:rsidP="00031C2F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626" w:type="dxa"/>
          </w:tcPr>
          <w:p w:rsidR="00BF4104" w:rsidRPr="00BC0629" w:rsidRDefault="00BF4104" w:rsidP="00031C2F">
            <w:pPr>
              <w:rPr>
                <w:rFonts w:cs="Sylfaen"/>
                <w:b/>
                <w:lang w:val="fr-CA"/>
              </w:rPr>
            </w:pPr>
            <w:r w:rsidRPr="00BC0629">
              <w:rPr>
                <w:rFonts w:cs="Sylfaen"/>
                <w:b/>
              </w:rPr>
              <w:t>Առաջարկության</w:t>
            </w:r>
            <w:r w:rsidRPr="00BC0629">
              <w:rPr>
                <w:b/>
              </w:rPr>
              <w:t xml:space="preserve"> </w:t>
            </w:r>
            <w:r w:rsidRPr="00BC0629">
              <w:rPr>
                <w:rFonts w:cs="Sylfaen"/>
                <w:b/>
              </w:rPr>
              <w:t>հեղինակ</w:t>
            </w:r>
          </w:p>
        </w:tc>
        <w:tc>
          <w:tcPr>
            <w:tcW w:w="3691" w:type="dxa"/>
          </w:tcPr>
          <w:p w:rsidR="00BF4104" w:rsidRPr="00BC0629" w:rsidRDefault="00BF4104" w:rsidP="00031C2F">
            <w:pPr>
              <w:rPr>
                <w:rFonts w:cs="Sylfaen"/>
                <w:b/>
                <w:lang w:val="fr-CA"/>
              </w:rPr>
            </w:pPr>
            <w:r w:rsidRPr="00BC0629">
              <w:rPr>
                <w:rFonts w:cs="Sylfaen"/>
                <w:b/>
              </w:rPr>
              <w:t>Առաջարկության</w:t>
            </w:r>
            <w:r w:rsidRPr="00BC0629">
              <w:rPr>
                <w:b/>
              </w:rPr>
              <w:t xml:space="preserve"> </w:t>
            </w:r>
            <w:r w:rsidRPr="00BC0629">
              <w:rPr>
                <w:rFonts w:cs="Sylfaen"/>
                <w:b/>
              </w:rPr>
              <w:t>բովանդակությունը</w:t>
            </w:r>
          </w:p>
        </w:tc>
        <w:tc>
          <w:tcPr>
            <w:tcW w:w="2986" w:type="dxa"/>
          </w:tcPr>
          <w:p w:rsidR="00BF4104" w:rsidRPr="00BC0629" w:rsidRDefault="00BF4104" w:rsidP="00031C2F">
            <w:pPr>
              <w:rPr>
                <w:rFonts w:cs="Sylfaen"/>
                <w:b/>
                <w:lang w:val="fr-CA"/>
              </w:rPr>
            </w:pPr>
            <w:r w:rsidRPr="00BC0629">
              <w:rPr>
                <w:rFonts w:cs="Sylfaen"/>
                <w:b/>
              </w:rPr>
              <w:t>Կենտրոնական</w:t>
            </w:r>
            <w:r w:rsidRPr="00BC0629">
              <w:rPr>
                <w:b/>
              </w:rPr>
              <w:t xml:space="preserve"> </w:t>
            </w:r>
            <w:r w:rsidRPr="00BC0629">
              <w:rPr>
                <w:rFonts w:cs="Sylfaen"/>
                <w:b/>
              </w:rPr>
              <w:t>բանկի</w:t>
            </w:r>
            <w:r w:rsidRPr="00BC0629">
              <w:rPr>
                <w:b/>
              </w:rPr>
              <w:t xml:space="preserve"> </w:t>
            </w:r>
            <w:r w:rsidRPr="00BC0629">
              <w:rPr>
                <w:rFonts w:cs="Sylfaen"/>
                <w:b/>
              </w:rPr>
              <w:t>դիրքորոշումը</w:t>
            </w:r>
          </w:p>
        </w:tc>
      </w:tr>
      <w:tr w:rsidR="00FC36C4" w:rsidRPr="0024664B" w:rsidTr="00CC441B">
        <w:tc>
          <w:tcPr>
            <w:tcW w:w="454" w:type="dxa"/>
          </w:tcPr>
          <w:p w:rsidR="00BF4104" w:rsidRPr="0024664B" w:rsidRDefault="00BF4104" w:rsidP="00031C2F">
            <w:pPr>
              <w:jc w:val="center"/>
            </w:pPr>
            <w:r w:rsidRPr="0024664B">
              <w:t>1</w:t>
            </w:r>
          </w:p>
        </w:tc>
        <w:tc>
          <w:tcPr>
            <w:tcW w:w="2626" w:type="dxa"/>
          </w:tcPr>
          <w:p w:rsidR="00BF4104" w:rsidRPr="0024664B" w:rsidRDefault="00BF4104" w:rsidP="00BF4104">
            <w:pPr>
              <w:jc w:val="center"/>
            </w:pPr>
            <w:r w:rsidRPr="0024664B">
              <w:t xml:space="preserve">ՀՀ ֆինանսների նախարարություն, </w:t>
            </w:r>
          </w:p>
        </w:tc>
        <w:tc>
          <w:tcPr>
            <w:tcW w:w="3691" w:type="dxa"/>
          </w:tcPr>
          <w:p w:rsidR="00BF4104" w:rsidRDefault="00BF4104" w:rsidP="00031C2F">
            <w:pPr>
              <w:jc w:val="center"/>
            </w:pPr>
            <w:r>
              <w:t xml:space="preserve">Դիտողություններ և առաջարկություններ չկան, </w:t>
            </w:r>
          </w:p>
          <w:p w:rsidR="00BF4104" w:rsidRDefault="00BF4104" w:rsidP="00031C2F">
            <w:pPr>
              <w:jc w:val="center"/>
            </w:pPr>
          </w:p>
          <w:p w:rsidR="00BF4104" w:rsidRPr="0024664B" w:rsidRDefault="00BF4104" w:rsidP="00031C2F">
            <w:r>
              <w:t xml:space="preserve">ԿԱԳ բյուջետային բնագավառում </w:t>
            </w:r>
            <w:r w:rsidRPr="0024664B">
              <w:rPr>
                <w:b/>
              </w:rPr>
              <w:t>չեզոք</w:t>
            </w:r>
            <w:r>
              <w:t xml:space="preserve"> ազդեցություն</w:t>
            </w:r>
          </w:p>
        </w:tc>
        <w:tc>
          <w:tcPr>
            <w:tcW w:w="2986" w:type="dxa"/>
          </w:tcPr>
          <w:p w:rsidR="00BF4104" w:rsidRPr="0024664B" w:rsidRDefault="00BF4104" w:rsidP="00031C2F">
            <w:pPr>
              <w:jc w:val="center"/>
            </w:pPr>
            <w:r>
              <w:t>Ընդունվել է ի գիտություն</w:t>
            </w:r>
          </w:p>
        </w:tc>
      </w:tr>
      <w:tr w:rsidR="00FC36C4" w:rsidRPr="0024664B" w:rsidTr="00CC441B">
        <w:trPr>
          <w:trHeight w:val="1842"/>
        </w:trPr>
        <w:tc>
          <w:tcPr>
            <w:tcW w:w="454" w:type="dxa"/>
          </w:tcPr>
          <w:p w:rsidR="00BF4104" w:rsidRPr="0024664B" w:rsidRDefault="00BF4104" w:rsidP="00031C2F">
            <w:pPr>
              <w:jc w:val="center"/>
            </w:pPr>
            <w:r>
              <w:t>2.</w:t>
            </w:r>
          </w:p>
        </w:tc>
        <w:tc>
          <w:tcPr>
            <w:tcW w:w="2626" w:type="dxa"/>
          </w:tcPr>
          <w:p w:rsidR="00BF4104" w:rsidRPr="0024664B" w:rsidRDefault="00BF4104" w:rsidP="00BF4104">
            <w:pPr>
              <w:jc w:val="center"/>
            </w:pPr>
            <w:r>
              <w:t xml:space="preserve">ՀՀ տնտեսական զարգացման և ներդրումների նախարարություն, </w:t>
            </w:r>
          </w:p>
        </w:tc>
        <w:tc>
          <w:tcPr>
            <w:tcW w:w="3691" w:type="dxa"/>
          </w:tcPr>
          <w:p w:rsidR="00BF4104" w:rsidRPr="00CA54E0" w:rsidRDefault="00BF4104" w:rsidP="00BF4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Հիմք ընդունելով «Իրավական ակտերի մասին» ՀՀ օրենքի 36-րդ հոդվածի 4-րդ մասը, համաձայն որի</w:t>
            </w:r>
            <w:r w:rsidR="0095153D">
              <w:rPr>
                <w:rFonts w:ascii="GHEA Grapalat" w:hAnsi="GHEA Grapalat"/>
                <w:sz w:val="24"/>
                <w:szCs w:val="24"/>
              </w:rPr>
              <w:t xml:space="preserve"> նորմատիվ իրավական ակտում միևնույն հասկացությունը սահմանելիս կամ միևնույն միտքն արտահայտելիս պետք է կիրառվեն միևնույն բառերը, տերմինները կամ բառակապակցությունները՝ առաջարկում ենք հստակեցնել Նախագծում կիրառվող «10 և ավելի տոկոս ձայնի իրավունք</w:t>
            </w:r>
            <w:r w:rsidR="00FC36C4">
              <w:rPr>
                <w:rFonts w:ascii="GHEA Grapalat" w:hAnsi="GHEA Grapalat"/>
                <w:sz w:val="24"/>
                <w:szCs w:val="24"/>
              </w:rPr>
              <w:t xml:space="preserve"> տվող մասնակցություն ունեցող մասնակիցը» և «10 և ավելի </w:t>
            </w:r>
            <w:r w:rsidR="00FC36C4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տոկոս ձայնի իրավունք տվող մասնակիցը» հասկացությունները: </w:t>
            </w:r>
          </w:p>
        </w:tc>
        <w:tc>
          <w:tcPr>
            <w:tcW w:w="2986" w:type="dxa"/>
          </w:tcPr>
          <w:p w:rsidR="00BF4104" w:rsidRPr="0024664B" w:rsidRDefault="00BF4104" w:rsidP="00FC36C4">
            <w:r>
              <w:lastRenderedPageBreak/>
              <w:t xml:space="preserve">Ընդունելի է: </w:t>
            </w:r>
            <w:r w:rsidR="00FC36C4">
              <w:t xml:space="preserve">Այդ հասկացությունները համապատասխանեցվել են միմյանց: </w:t>
            </w:r>
            <w:r>
              <w:t xml:space="preserve"> </w:t>
            </w:r>
          </w:p>
        </w:tc>
      </w:tr>
      <w:tr w:rsidR="00C479E6" w:rsidRPr="0024664B" w:rsidTr="00CC441B">
        <w:trPr>
          <w:trHeight w:val="1842"/>
        </w:trPr>
        <w:tc>
          <w:tcPr>
            <w:tcW w:w="454" w:type="dxa"/>
          </w:tcPr>
          <w:p w:rsidR="00C479E6" w:rsidRDefault="00C479E6" w:rsidP="00031C2F">
            <w:pPr>
              <w:jc w:val="center"/>
            </w:pPr>
          </w:p>
        </w:tc>
        <w:tc>
          <w:tcPr>
            <w:tcW w:w="2626" w:type="dxa"/>
          </w:tcPr>
          <w:p w:rsidR="00C479E6" w:rsidRDefault="00C479E6" w:rsidP="00BF4104">
            <w:pPr>
              <w:jc w:val="center"/>
            </w:pPr>
          </w:p>
        </w:tc>
        <w:tc>
          <w:tcPr>
            <w:tcW w:w="3691" w:type="dxa"/>
          </w:tcPr>
          <w:p w:rsidR="00C479E6" w:rsidRDefault="00C479E6" w:rsidP="00BF4104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Իրավական որոշակիություն ապահովելու նպատակով առաջարկում ենք «Արժութային կարգավորման և արժութային վերահսկողության մասին» ՀՀ օրենքի նախագծի 1-ին հոդվածում «չեն կարող ունենալդատվածություն, եթե այդ դատվածությունը հանված կամ մարված չէ» բառերը փոխարինել «չեն կարող իրականացնել արժութային դիլլերային-բրոքերային առուվաճառքի գործունեություն, եթե ունեն դատվածություն և դատվածությունը սահմանված կարգով հանված կամ մարված չէ» բառերով: </w:t>
            </w:r>
          </w:p>
        </w:tc>
        <w:tc>
          <w:tcPr>
            <w:tcW w:w="2986" w:type="dxa"/>
          </w:tcPr>
          <w:p w:rsidR="00C479E6" w:rsidRDefault="00C479E6" w:rsidP="00FC36C4">
            <w:r>
              <w:t xml:space="preserve">Ընդունելի է, հոդվածը խմբագրվել է: </w:t>
            </w:r>
          </w:p>
        </w:tc>
      </w:tr>
      <w:tr w:rsidR="00B6566F" w:rsidRPr="0024664B" w:rsidTr="00CC441B">
        <w:trPr>
          <w:trHeight w:val="1842"/>
        </w:trPr>
        <w:tc>
          <w:tcPr>
            <w:tcW w:w="454" w:type="dxa"/>
          </w:tcPr>
          <w:p w:rsidR="00B6566F" w:rsidRDefault="00B6566F" w:rsidP="00031C2F">
            <w:pPr>
              <w:jc w:val="center"/>
            </w:pPr>
            <w:r>
              <w:t>3.</w:t>
            </w:r>
          </w:p>
        </w:tc>
        <w:tc>
          <w:tcPr>
            <w:tcW w:w="2626" w:type="dxa"/>
          </w:tcPr>
          <w:p w:rsidR="00B6566F" w:rsidRDefault="00B6566F" w:rsidP="00BF4104">
            <w:pPr>
              <w:jc w:val="center"/>
            </w:pPr>
            <w:r>
              <w:t>ՀՀ արդարադատության նախարարություն</w:t>
            </w:r>
          </w:p>
        </w:tc>
        <w:tc>
          <w:tcPr>
            <w:tcW w:w="3691" w:type="dxa"/>
          </w:tcPr>
          <w:p w:rsidR="00B6566F" w:rsidRDefault="00B6566F" w:rsidP="00B6566F">
            <w:pPr>
              <w:widowControl w:val="0"/>
              <w:spacing w:line="360" w:lineRule="auto"/>
              <w:jc w:val="both"/>
              <w:textAlignment w:val="baseline"/>
              <w:rPr>
                <w:rFonts w:cs="Sylfaen"/>
                <w:lang w:val="af-ZA"/>
              </w:rPr>
            </w:pPr>
            <w:r w:rsidRPr="00E404F7">
              <w:rPr>
                <w:rFonts w:cs="Sylfaen"/>
                <w:lang w:val="af-ZA"/>
              </w:rPr>
              <w:t>«Գրավատների և գրավատնային գործունեության մասին» ՀՀ օրենքում լրացումներ կատարելու մասին»</w:t>
            </w:r>
            <w:r>
              <w:rPr>
                <w:rFonts w:cs="Sylfaen"/>
                <w:lang w:val="af-ZA"/>
              </w:rPr>
              <w:t xml:space="preserve"> ՀՀ օրենքի նախագծի 1-ին հոդվածից անհրաժեշտ է հանել </w:t>
            </w:r>
            <w:r>
              <w:rPr>
                <w:rFonts w:cs="Sylfaen"/>
                <w:lang w:val="af-ZA"/>
              </w:rPr>
              <w:lastRenderedPageBreak/>
              <w:t xml:space="preserve">&lt;տնօրեն&gt; բառը, քանի որ ՀՀ քաղաքացիական օրենսգրքի 113-րդ հոդվածի 3-րդ մասի համաձայն </w:t>
            </w:r>
            <w:r w:rsidRPr="009A7A56">
              <w:rPr>
                <w:rFonts w:ascii="Courier New" w:hAnsi="Courier New" w:cs="Courier New"/>
                <w:lang w:val="af-ZA"/>
              </w:rPr>
              <w:t> </w:t>
            </w:r>
            <w:r w:rsidRPr="009A7A56">
              <w:rPr>
                <w:rFonts w:cs="Sylfaen"/>
                <w:lang w:val="af-ZA"/>
              </w:rPr>
              <w:t>ընկերության գործադիր մարմինը կարող է լինել կոլեգիալ (վարչություն, տնօրինություն) և (կամ) միանձնյա (տնօրեն, գլխավոր տնօրեն): Գործադիր մարմինը ղեկավարում է ընկերության ընթացիկ գործունեությունը և հաշվետու է տնօրենների խորհրդին (դիտորդ խորհրդին) ու բաժնետերերի ընդհանուր ժողովին:</w:t>
            </w:r>
          </w:p>
          <w:p w:rsidR="00B6566F" w:rsidRDefault="00B6566F" w:rsidP="00B6566F">
            <w:pPr>
              <w:widowControl w:val="0"/>
              <w:spacing w:line="360" w:lineRule="auto"/>
              <w:jc w:val="both"/>
              <w:textAlignment w:val="baseline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 xml:space="preserve">        Ուստի &lt;ղեկավար&gt; հասկացության մեջ ներառվում է նաև կազմակերպության տնօրենը՝ որպես միանձնյա գործադիր մարմին:</w:t>
            </w:r>
          </w:p>
          <w:p w:rsidR="00B6566F" w:rsidRPr="00B6566F" w:rsidRDefault="00B6566F" w:rsidP="00B6566F">
            <w:pPr>
              <w:widowControl w:val="0"/>
              <w:spacing w:line="360" w:lineRule="auto"/>
              <w:jc w:val="both"/>
              <w:textAlignment w:val="baseline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 xml:space="preserve">       Նույն դիտողությունը վերաբերում է նաև նույն նախագծի 2-րդ հոդվածին, ինչպես նաև </w:t>
            </w:r>
            <w:r w:rsidRPr="00B14BE4">
              <w:rPr>
                <w:rFonts w:cs="Sylfaen"/>
                <w:lang w:val="af-ZA"/>
              </w:rPr>
              <w:t>«Արժութային կարգավորման և արժութային վերահոսկողության մասին» ՀՀ օրենքում լրացում կատարելու մասին»  ՀՀ օրենք</w:t>
            </w:r>
            <w:r>
              <w:rPr>
                <w:rFonts w:cs="Sylfaen"/>
                <w:lang w:val="af-ZA"/>
              </w:rPr>
              <w:t>ի նախագծի 1-ին հոդվածին:</w:t>
            </w:r>
          </w:p>
        </w:tc>
        <w:tc>
          <w:tcPr>
            <w:tcW w:w="2986" w:type="dxa"/>
          </w:tcPr>
          <w:p w:rsidR="00B6566F" w:rsidRDefault="00B6566F" w:rsidP="00B6566F">
            <w:r>
              <w:lastRenderedPageBreak/>
              <w:t xml:space="preserve">Ընդունելի է: </w:t>
            </w:r>
            <w:r w:rsidRPr="00E404F7">
              <w:rPr>
                <w:rFonts w:cs="Sylfaen"/>
                <w:lang w:val="af-ZA"/>
              </w:rPr>
              <w:t>«Գրավատների և գրավատնային գործունեության մասին» ՀՀ օրենքում լրացումներ կատարելու մասին»</w:t>
            </w:r>
            <w:r>
              <w:rPr>
                <w:rFonts w:cs="Sylfaen"/>
                <w:lang w:val="af-ZA"/>
              </w:rPr>
              <w:t xml:space="preserve"> ՀՀ օրենքի նախագծի 1-ին հոդվածից եվ «</w:t>
            </w:r>
            <w:r w:rsidRPr="00B14BE4">
              <w:rPr>
                <w:rFonts w:cs="Sylfaen"/>
                <w:lang w:val="af-ZA"/>
              </w:rPr>
              <w:t xml:space="preserve">Արժութային կարգավորման և </w:t>
            </w:r>
            <w:r w:rsidRPr="00B14BE4">
              <w:rPr>
                <w:rFonts w:cs="Sylfaen"/>
                <w:lang w:val="af-ZA"/>
              </w:rPr>
              <w:lastRenderedPageBreak/>
              <w:t>արժութային վերահոսկողության մասին» ՀՀ օրենքում լրացում կատարելու մասին»  ՀՀ օրենք</w:t>
            </w:r>
            <w:r>
              <w:rPr>
                <w:rFonts w:cs="Sylfaen"/>
                <w:lang w:val="af-ZA"/>
              </w:rPr>
              <w:t xml:space="preserve">ի նախագծի 1-ին հոդվածից հանվել են &lt;տնօրեն&gt; բառերը: </w:t>
            </w:r>
          </w:p>
        </w:tc>
      </w:tr>
      <w:tr w:rsidR="00B6566F" w:rsidRPr="0024664B" w:rsidTr="00CC441B">
        <w:trPr>
          <w:trHeight w:val="1842"/>
        </w:trPr>
        <w:tc>
          <w:tcPr>
            <w:tcW w:w="454" w:type="dxa"/>
          </w:tcPr>
          <w:p w:rsidR="00B6566F" w:rsidRDefault="00B6566F" w:rsidP="00031C2F">
            <w:pPr>
              <w:jc w:val="center"/>
            </w:pPr>
          </w:p>
        </w:tc>
        <w:tc>
          <w:tcPr>
            <w:tcW w:w="2626" w:type="dxa"/>
          </w:tcPr>
          <w:p w:rsidR="00B6566F" w:rsidRDefault="00B6566F" w:rsidP="00BF4104">
            <w:pPr>
              <w:jc w:val="center"/>
            </w:pPr>
          </w:p>
        </w:tc>
        <w:tc>
          <w:tcPr>
            <w:tcW w:w="3691" w:type="dxa"/>
          </w:tcPr>
          <w:p w:rsidR="00B6566F" w:rsidRPr="00E404F7" w:rsidRDefault="00B6566F" w:rsidP="00B6566F">
            <w:pPr>
              <w:widowControl w:val="0"/>
              <w:spacing w:line="360" w:lineRule="auto"/>
              <w:jc w:val="both"/>
              <w:textAlignment w:val="baseline"/>
              <w:rPr>
                <w:rFonts w:cs="Sylfaen"/>
                <w:lang w:val="af-ZA"/>
              </w:rPr>
            </w:pPr>
            <w:r w:rsidRPr="00B14BE4">
              <w:rPr>
                <w:rFonts w:cs="Sylfaen"/>
                <w:lang w:val="af-ZA"/>
              </w:rPr>
              <w:t>«Վճարահաշվարկային համակարգերի և վճարահաշվարկային կազմակերպությունների մասին» ՀՀ օրենք</w:t>
            </w:r>
            <w:r>
              <w:rPr>
                <w:rFonts w:cs="Sylfaen"/>
                <w:lang w:val="af-ZA"/>
              </w:rPr>
              <w:t>ում լրացումներ կատարելու մասին</w:t>
            </w:r>
            <w:r w:rsidRPr="00B14BE4">
              <w:rPr>
                <w:rFonts w:cs="Sylfaen"/>
                <w:lang w:val="af-ZA"/>
              </w:rPr>
              <w:t>»</w:t>
            </w:r>
            <w:r>
              <w:rPr>
                <w:rFonts w:cs="Sylfaen"/>
                <w:lang w:val="af-ZA"/>
              </w:rPr>
              <w:t xml:space="preserve"> ՀՀ օրենքի նախագծի 6-րդ հոդվածում &lt;&lt;ա&gt; կետում&gt; բառերն անհրաժեշտ է փոխարինել &lt;&lt;բ&gt; կետում&gt; բառերով՝ ելնելով այն հանգամանքից, որ նախագծով առաջարկվող փոփոխությունը վերաբերում է </w:t>
            </w:r>
            <w:r w:rsidRPr="00B14BE4">
              <w:rPr>
                <w:rFonts w:cs="Sylfaen"/>
                <w:lang w:val="af-ZA"/>
              </w:rPr>
              <w:t>«Վճարահաշվարկային համակարգերի և վճարահաշվարկային կազմակերպությունների մասին» ՀՀ օրենք</w:t>
            </w:r>
            <w:r>
              <w:rPr>
                <w:rFonts w:cs="Sylfaen"/>
                <w:lang w:val="af-ZA"/>
              </w:rPr>
              <w:t>ի 26-րդ հոդվածի &lt;բ&gt; կետին:</w:t>
            </w:r>
          </w:p>
        </w:tc>
        <w:tc>
          <w:tcPr>
            <w:tcW w:w="2986" w:type="dxa"/>
          </w:tcPr>
          <w:p w:rsidR="008A2356" w:rsidRDefault="008A2356" w:rsidP="00B6566F">
            <w:r>
              <w:t xml:space="preserve">Ընդունելի է: Նշված հոդվածը խմբագրվել է: </w:t>
            </w:r>
          </w:p>
        </w:tc>
      </w:tr>
      <w:tr w:rsidR="001C13BC" w:rsidRPr="0024664B" w:rsidTr="00CC441B">
        <w:trPr>
          <w:trHeight w:val="1842"/>
        </w:trPr>
        <w:tc>
          <w:tcPr>
            <w:tcW w:w="454" w:type="dxa"/>
          </w:tcPr>
          <w:p w:rsidR="001C13BC" w:rsidRDefault="001C13BC" w:rsidP="00031C2F">
            <w:pPr>
              <w:jc w:val="center"/>
            </w:pPr>
            <w:r>
              <w:t>4.</w:t>
            </w:r>
          </w:p>
        </w:tc>
        <w:tc>
          <w:tcPr>
            <w:tcW w:w="2626" w:type="dxa"/>
          </w:tcPr>
          <w:p w:rsidR="001C13BC" w:rsidRDefault="001C13BC" w:rsidP="00BF4104">
            <w:pPr>
              <w:jc w:val="center"/>
            </w:pPr>
            <w:r>
              <w:t>Հանրային քննարկում «Ի դրաֆտ»</w:t>
            </w:r>
            <w:bookmarkStart w:id="0" w:name="_GoBack"/>
            <w:bookmarkEnd w:id="0"/>
            <w:r>
              <w:t xml:space="preserve"> կայքի միջոցով</w:t>
            </w:r>
          </w:p>
        </w:tc>
        <w:tc>
          <w:tcPr>
            <w:tcW w:w="3691" w:type="dxa"/>
          </w:tcPr>
          <w:p w:rsidR="001C13BC" w:rsidRPr="00B14BE4" w:rsidRDefault="001C13BC" w:rsidP="00B6566F">
            <w:pPr>
              <w:widowControl w:val="0"/>
              <w:spacing w:line="360" w:lineRule="auto"/>
              <w:jc w:val="both"/>
              <w:textAlignment w:val="baseline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Առաջարկություններ եվ դիտողություններ չկան:</w:t>
            </w:r>
          </w:p>
        </w:tc>
        <w:tc>
          <w:tcPr>
            <w:tcW w:w="2986" w:type="dxa"/>
          </w:tcPr>
          <w:p w:rsidR="001C13BC" w:rsidRDefault="001C13BC" w:rsidP="00B6566F"/>
        </w:tc>
      </w:tr>
    </w:tbl>
    <w:p w:rsidR="00BF4104" w:rsidRPr="00BF4104" w:rsidRDefault="00BF4104" w:rsidP="00BF4104">
      <w:pPr>
        <w:jc w:val="center"/>
      </w:pPr>
    </w:p>
    <w:sectPr w:rsidR="00BF4104" w:rsidRPr="00BF4104" w:rsidSect="00CC441B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43872"/>
    <w:multiLevelType w:val="hybridMultilevel"/>
    <w:tmpl w:val="55286AF8"/>
    <w:lvl w:ilvl="0" w:tplc="35CA08DC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F4"/>
    <w:rsid w:val="001C13BC"/>
    <w:rsid w:val="007A3BF4"/>
    <w:rsid w:val="008A2356"/>
    <w:rsid w:val="0095153D"/>
    <w:rsid w:val="00A1693F"/>
    <w:rsid w:val="00B6566F"/>
    <w:rsid w:val="00BF4104"/>
    <w:rsid w:val="00C479E6"/>
    <w:rsid w:val="00C8679B"/>
    <w:rsid w:val="00CC441B"/>
    <w:rsid w:val="00CC6E25"/>
    <w:rsid w:val="00F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104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104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dcterms:created xsi:type="dcterms:W3CDTF">2017-11-16T12:00:00Z</dcterms:created>
  <dcterms:modified xsi:type="dcterms:W3CDTF">2018-02-12T06:29:00Z</dcterms:modified>
</cp:coreProperties>
</file>