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673" w:rsidRPr="008065E1" w:rsidRDefault="00326673" w:rsidP="00CB32D6">
      <w:pPr>
        <w:spacing w:line="360" w:lineRule="auto"/>
        <w:jc w:val="center"/>
        <w:rPr>
          <w:b/>
          <w:lang w:val="en-US"/>
        </w:rPr>
      </w:pPr>
      <w:r w:rsidRPr="008065E1">
        <w:rPr>
          <w:b/>
          <w:lang w:val="en-US"/>
        </w:rPr>
        <w:t>ՏԵՂԵԿԱՆՔ</w:t>
      </w:r>
    </w:p>
    <w:p w:rsidR="00326673" w:rsidRPr="008065E1" w:rsidRDefault="00EF5417" w:rsidP="00CB32D6">
      <w:pPr>
        <w:spacing w:line="360" w:lineRule="auto"/>
        <w:jc w:val="center"/>
        <w:rPr>
          <w:b/>
          <w:lang w:val="en-US"/>
        </w:rPr>
      </w:pPr>
      <w:r w:rsidRPr="008065E1">
        <w:rPr>
          <w:b/>
          <w:lang w:val="hy-AM"/>
        </w:rPr>
        <w:t>«</w:t>
      </w:r>
      <w:proofErr w:type="spellStart"/>
      <w:r w:rsidR="002B276E" w:rsidRPr="008065E1">
        <w:rPr>
          <w:b/>
          <w:lang w:val="en-US"/>
        </w:rPr>
        <w:t>Սաղաթելյանն</w:t>
      </w:r>
      <w:proofErr w:type="spellEnd"/>
      <w:r w:rsidR="00326673" w:rsidRPr="008065E1">
        <w:rPr>
          <w:b/>
          <w:lang w:val="en-US"/>
        </w:rPr>
        <w:t xml:space="preserve"> </w:t>
      </w:r>
      <w:proofErr w:type="spellStart"/>
      <w:r w:rsidR="00326673" w:rsidRPr="008065E1">
        <w:rPr>
          <w:b/>
          <w:lang w:val="en-US"/>
        </w:rPr>
        <w:t>ընդդեմ</w:t>
      </w:r>
      <w:proofErr w:type="spellEnd"/>
      <w:r w:rsidR="00326673" w:rsidRPr="008065E1">
        <w:rPr>
          <w:b/>
          <w:lang w:val="en-US"/>
        </w:rPr>
        <w:t xml:space="preserve"> </w:t>
      </w:r>
      <w:proofErr w:type="spellStart"/>
      <w:r w:rsidR="00326673" w:rsidRPr="008065E1">
        <w:rPr>
          <w:b/>
          <w:lang w:val="en-US"/>
        </w:rPr>
        <w:t>Հայաստանի</w:t>
      </w:r>
      <w:proofErr w:type="spellEnd"/>
      <w:r w:rsidRPr="008065E1">
        <w:rPr>
          <w:b/>
          <w:lang w:val="hy-AM"/>
        </w:rPr>
        <w:t>»</w:t>
      </w:r>
      <w:r w:rsidR="00326673" w:rsidRPr="008065E1">
        <w:rPr>
          <w:b/>
          <w:lang w:val="en-US"/>
        </w:rPr>
        <w:t xml:space="preserve"> </w:t>
      </w:r>
      <w:proofErr w:type="spellStart"/>
      <w:r w:rsidR="002B276E" w:rsidRPr="008065E1">
        <w:rPr>
          <w:b/>
          <w:lang w:val="en-US"/>
        </w:rPr>
        <w:t>թիվ</w:t>
      </w:r>
      <w:proofErr w:type="spellEnd"/>
      <w:r w:rsidR="002B276E" w:rsidRPr="008065E1">
        <w:rPr>
          <w:b/>
          <w:lang w:val="en-US"/>
        </w:rPr>
        <w:t xml:space="preserve"> 7984/06 </w:t>
      </w:r>
      <w:r w:rsidRPr="008065E1">
        <w:rPr>
          <w:b/>
          <w:lang w:val="hy-AM"/>
        </w:rPr>
        <w:t xml:space="preserve">գործով վճռի </w:t>
      </w:r>
      <w:proofErr w:type="spellStart"/>
      <w:r w:rsidR="00326673" w:rsidRPr="008065E1">
        <w:rPr>
          <w:b/>
          <w:lang w:val="en-US"/>
        </w:rPr>
        <w:t>վերաբերյալ</w:t>
      </w:r>
      <w:proofErr w:type="spellEnd"/>
    </w:p>
    <w:p w:rsidR="00326673" w:rsidRPr="008065E1" w:rsidRDefault="00326673" w:rsidP="00CB32D6">
      <w:pPr>
        <w:spacing w:line="360" w:lineRule="auto"/>
        <w:jc w:val="center"/>
        <w:rPr>
          <w:b/>
          <w:lang w:val="en-US"/>
        </w:rPr>
      </w:pPr>
    </w:p>
    <w:p w:rsidR="00DF4391" w:rsidRPr="008065E1" w:rsidRDefault="00DF4391" w:rsidP="00CB32D6">
      <w:pPr>
        <w:spacing w:line="360" w:lineRule="auto"/>
        <w:ind w:firstLine="567"/>
        <w:jc w:val="both"/>
        <w:rPr>
          <w:b/>
          <w:lang w:val="hy-AM"/>
        </w:rPr>
      </w:pPr>
      <w:r w:rsidRPr="008065E1">
        <w:rPr>
          <w:b/>
          <w:lang w:val="hy-AM"/>
        </w:rPr>
        <w:t>Գործի ելակետային տվյալները</w:t>
      </w:r>
    </w:p>
    <w:p w:rsidR="009E6924" w:rsidRPr="008065E1" w:rsidRDefault="00326673" w:rsidP="00AF00E8">
      <w:pPr>
        <w:spacing w:line="360" w:lineRule="auto"/>
        <w:ind w:firstLine="567"/>
        <w:jc w:val="both"/>
        <w:rPr>
          <w:lang w:val="hy-AM"/>
        </w:rPr>
      </w:pPr>
      <w:r w:rsidRPr="008065E1">
        <w:rPr>
          <w:lang w:val="hy-AM"/>
        </w:rPr>
        <w:t xml:space="preserve">Մարդու իրավունքների եվրոպական դատարանը 2015 թվականի </w:t>
      </w:r>
      <w:r w:rsidR="009E6924" w:rsidRPr="008065E1">
        <w:rPr>
          <w:lang w:val="hy-AM"/>
        </w:rPr>
        <w:t>հոկտեմբերի 20</w:t>
      </w:r>
      <w:r w:rsidRPr="008065E1">
        <w:rPr>
          <w:lang w:val="hy-AM"/>
        </w:rPr>
        <w:t xml:space="preserve">-ին </w:t>
      </w:r>
      <w:r w:rsidR="003A29D1" w:rsidRPr="008065E1">
        <w:rPr>
          <w:lang w:val="hy-AM"/>
        </w:rPr>
        <w:t>հրապարակել</w:t>
      </w:r>
      <w:r w:rsidRPr="008065E1">
        <w:rPr>
          <w:lang w:val="hy-AM"/>
        </w:rPr>
        <w:t xml:space="preserve"> է «</w:t>
      </w:r>
      <w:r w:rsidR="009E6924" w:rsidRPr="008065E1">
        <w:rPr>
          <w:lang w:val="hy-AM"/>
        </w:rPr>
        <w:t xml:space="preserve">Սաղաթելյանն </w:t>
      </w:r>
      <w:r w:rsidRPr="008065E1">
        <w:rPr>
          <w:lang w:val="hy-AM"/>
        </w:rPr>
        <w:t>ընդդեմ Հայաստանի» գործով վճիռ</w:t>
      </w:r>
      <w:r w:rsidR="003A29D1" w:rsidRPr="008065E1">
        <w:rPr>
          <w:lang w:val="hy-AM"/>
        </w:rPr>
        <w:t>ը</w:t>
      </w:r>
      <w:r w:rsidRPr="008065E1">
        <w:rPr>
          <w:lang w:val="hy-AM"/>
        </w:rPr>
        <w:t>, որով ճանաչվել է</w:t>
      </w:r>
      <w:r w:rsidR="00C55035" w:rsidRPr="008065E1">
        <w:rPr>
          <w:lang w:val="hy-AM"/>
        </w:rPr>
        <w:t xml:space="preserve"> Մարդու իրավունքների եվրոպական կոնվենցիայի</w:t>
      </w:r>
      <w:r w:rsidR="00752866" w:rsidRPr="008065E1">
        <w:rPr>
          <w:lang w:val="hy-AM"/>
        </w:rPr>
        <w:t xml:space="preserve"> </w:t>
      </w:r>
      <w:r w:rsidR="002B276E" w:rsidRPr="008065E1">
        <w:rPr>
          <w:lang w:val="hy-AM"/>
        </w:rPr>
        <w:t xml:space="preserve">(այսուհետ՝ Կոնվենցիա) </w:t>
      </w:r>
      <w:r w:rsidR="009E6924" w:rsidRPr="008065E1">
        <w:rPr>
          <w:lang w:val="hy-AM"/>
        </w:rPr>
        <w:t xml:space="preserve">6-րդ հոդվածով </w:t>
      </w:r>
      <w:r w:rsidR="00BA48FA" w:rsidRPr="008065E1">
        <w:rPr>
          <w:lang w:val="hy-AM"/>
        </w:rPr>
        <w:t xml:space="preserve">1-ին կետով </w:t>
      </w:r>
      <w:r w:rsidR="009E6924" w:rsidRPr="008065E1">
        <w:rPr>
          <w:lang w:val="hy-AM"/>
        </w:rPr>
        <w:t>սահմանված՝ դատարանի մատչելիության իրավունքի խախտում:</w:t>
      </w:r>
    </w:p>
    <w:p w:rsidR="00A9664B" w:rsidRPr="008065E1" w:rsidRDefault="00A9664B" w:rsidP="00CB32D6">
      <w:pPr>
        <w:spacing w:line="360" w:lineRule="auto"/>
        <w:ind w:firstLine="567"/>
        <w:jc w:val="both"/>
        <w:rPr>
          <w:b/>
          <w:lang w:val="hy-AM"/>
        </w:rPr>
      </w:pPr>
    </w:p>
    <w:p w:rsidR="00993D08" w:rsidRPr="008065E1" w:rsidRDefault="00993D08" w:rsidP="00CB32D6">
      <w:pPr>
        <w:spacing w:line="360" w:lineRule="auto"/>
        <w:ind w:firstLine="567"/>
        <w:jc w:val="both"/>
        <w:rPr>
          <w:b/>
          <w:lang w:val="hy-AM"/>
        </w:rPr>
      </w:pPr>
      <w:r w:rsidRPr="008065E1">
        <w:rPr>
          <w:b/>
          <w:lang w:val="hy-AM"/>
        </w:rPr>
        <w:t xml:space="preserve">Գործի </w:t>
      </w:r>
      <w:r w:rsidR="00947DC7" w:rsidRPr="008065E1">
        <w:rPr>
          <w:b/>
          <w:lang w:val="hy-AM"/>
        </w:rPr>
        <w:t>փաստական հանգամանքները.</w:t>
      </w:r>
    </w:p>
    <w:p w:rsidR="009E6924" w:rsidRPr="008065E1" w:rsidRDefault="009E6924" w:rsidP="00BD772A">
      <w:pPr>
        <w:spacing w:line="360" w:lineRule="auto"/>
        <w:ind w:firstLine="567"/>
        <w:jc w:val="both"/>
        <w:rPr>
          <w:lang w:val="hy-AM"/>
        </w:rPr>
      </w:pPr>
      <w:r w:rsidRPr="008065E1">
        <w:rPr>
          <w:lang w:val="hy-AM"/>
        </w:rPr>
        <w:t xml:space="preserve">Դիմումատուն </w:t>
      </w:r>
      <w:r w:rsidR="00BD772A" w:rsidRPr="008065E1">
        <w:rPr>
          <w:lang w:val="hy-AM"/>
        </w:rPr>
        <w:t xml:space="preserve">Հայաստանի քաղաքացի Անահիտ Սաղաթելյանն է (ծնված 1959թ.), ով </w:t>
      </w:r>
      <w:r w:rsidRPr="008065E1">
        <w:rPr>
          <w:lang w:val="hy-AM"/>
        </w:rPr>
        <w:t xml:space="preserve">ՀՀ Գեղարքունիքի մարզի ընդհանուր իրավասության </w:t>
      </w:r>
      <w:r w:rsidR="00BD772A" w:rsidRPr="008065E1">
        <w:rPr>
          <w:lang w:val="hy-AM"/>
        </w:rPr>
        <w:t xml:space="preserve">դատարանում աշխատել է </w:t>
      </w:r>
      <w:r w:rsidRPr="008065E1">
        <w:rPr>
          <w:lang w:val="hy-AM"/>
        </w:rPr>
        <w:t>որպես դատավոր:</w:t>
      </w:r>
    </w:p>
    <w:p w:rsidR="009E6924" w:rsidRPr="008065E1" w:rsidRDefault="009E6924" w:rsidP="00BD772A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8065E1">
        <w:rPr>
          <w:rFonts w:ascii="GHEA Grapalat" w:hAnsi="GHEA Grapalat"/>
          <w:lang w:val="hy-AM"/>
        </w:rPr>
        <w:t xml:space="preserve">2004 թվականի փետրվարի 17-ին ՀՀ արդարադատության նախարարը միջնորդություն է ներկայացրել ՀՀ արդարադատության խորհուրդ՝ </w:t>
      </w:r>
      <w:r w:rsidR="00BA48FA" w:rsidRPr="008065E1">
        <w:rPr>
          <w:rFonts w:ascii="GHEA Grapalat" w:hAnsi="GHEA Grapalat"/>
          <w:lang w:val="hy-AM"/>
        </w:rPr>
        <w:t>միջնորդելով</w:t>
      </w:r>
      <w:r w:rsidR="00862CFE" w:rsidRPr="008065E1">
        <w:rPr>
          <w:rFonts w:ascii="GHEA Grapalat" w:hAnsi="GHEA Grapalat"/>
          <w:lang w:val="hy-AM"/>
        </w:rPr>
        <w:t xml:space="preserve"> «Դատավորի կարգավիճակի մասին» ՀՀ օրենքի 30-րդ հոդվածի 8-րդ կե</w:t>
      </w:r>
      <w:r w:rsidR="003A29D1" w:rsidRPr="008065E1">
        <w:rPr>
          <w:rFonts w:ascii="GHEA Grapalat" w:hAnsi="GHEA Grapalat"/>
          <w:lang w:val="hy-AM"/>
        </w:rPr>
        <w:t>տով սահմանված կարգով դադարեցնել Ա.Սաղաթելյանի</w:t>
      </w:r>
      <w:r w:rsidR="00862CFE" w:rsidRPr="008065E1">
        <w:rPr>
          <w:rFonts w:ascii="GHEA Grapalat" w:hAnsi="GHEA Grapalat"/>
          <w:lang w:val="hy-AM"/>
        </w:rPr>
        <w:t xml:space="preserve"> լիազորությունները: Միջնորդ</w:t>
      </w:r>
      <w:r w:rsidR="002B276E" w:rsidRPr="008065E1">
        <w:rPr>
          <w:rFonts w:ascii="GHEA Grapalat" w:hAnsi="GHEA Grapalat"/>
          <w:lang w:val="hy-AM"/>
        </w:rPr>
        <w:t>ության մեջ նշվել է</w:t>
      </w:r>
      <w:r w:rsidR="00862CFE" w:rsidRPr="008065E1">
        <w:rPr>
          <w:rFonts w:ascii="GHEA Grapalat" w:hAnsi="GHEA Grapalat"/>
          <w:lang w:val="hy-AM"/>
        </w:rPr>
        <w:t xml:space="preserve">, որ </w:t>
      </w:r>
      <w:r w:rsidR="003A29D1" w:rsidRPr="008065E1">
        <w:rPr>
          <w:rFonts w:ascii="GHEA Grapalat" w:hAnsi="GHEA Grapalat"/>
          <w:lang w:val="hy-AM"/>
        </w:rPr>
        <w:t xml:space="preserve">վերջինս </w:t>
      </w:r>
      <w:r w:rsidR="00862CFE" w:rsidRPr="008065E1">
        <w:rPr>
          <w:rFonts w:ascii="GHEA Grapalat" w:hAnsi="GHEA Grapalat"/>
          <w:lang w:val="hy-AM"/>
        </w:rPr>
        <w:t xml:space="preserve">թվով երեք անգամ, մասնավորապես՝ 1997, 2000 և 2001 թվականներին </w:t>
      </w:r>
      <w:r w:rsidR="00BA48FA" w:rsidRPr="008065E1">
        <w:rPr>
          <w:rFonts w:ascii="GHEA Grapalat" w:hAnsi="GHEA Grapalat"/>
          <w:lang w:val="hy-AM"/>
        </w:rPr>
        <w:t xml:space="preserve">քրեադատավարական օրենսդրության կոպիտ խախտումների համար </w:t>
      </w:r>
      <w:r w:rsidR="00862CFE" w:rsidRPr="008065E1">
        <w:rPr>
          <w:rFonts w:ascii="GHEA Grapalat" w:hAnsi="GHEA Grapalat"/>
          <w:lang w:val="hy-AM"/>
        </w:rPr>
        <w:t xml:space="preserve">ստացել է նկատողություններ, իսկ 2003 թվականի դեկտեմբերին </w:t>
      </w:r>
      <w:r w:rsidR="002B276E" w:rsidRPr="008065E1">
        <w:rPr>
          <w:rFonts w:ascii="GHEA Grapalat" w:hAnsi="GHEA Grapalat"/>
          <w:lang w:val="hy-AM"/>
        </w:rPr>
        <w:t xml:space="preserve">նրա </w:t>
      </w:r>
      <w:r w:rsidR="00862CFE" w:rsidRPr="008065E1">
        <w:rPr>
          <w:rFonts w:ascii="GHEA Grapalat" w:hAnsi="GHEA Grapalat"/>
          <w:lang w:val="hy-AM"/>
        </w:rPr>
        <w:t xml:space="preserve">նկատմամբ նույն հիմքերով հարուցվել է կարգապահական վարույթ: </w:t>
      </w:r>
    </w:p>
    <w:p w:rsidR="00862CFE" w:rsidRPr="008065E1" w:rsidRDefault="00862CFE" w:rsidP="00E538EE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8065E1">
        <w:rPr>
          <w:rFonts w:ascii="GHEA Grapalat" w:hAnsi="GHEA Grapalat"/>
          <w:lang w:val="hy-AM"/>
        </w:rPr>
        <w:t>2004 թվականի մարտի 2-ին ՀՀ արդարադատության խորհուրդը քննել է միջնորդությունը և որոշել ստեղծել երեք անդամից բաղկացած հանձնաժողով՝ միջնորդության մեջ նշված փաստական հիմքերը քննելու և</w:t>
      </w:r>
      <w:r w:rsidR="003A29D1" w:rsidRPr="008065E1">
        <w:rPr>
          <w:rFonts w:ascii="GHEA Grapalat" w:hAnsi="GHEA Grapalat"/>
          <w:lang w:val="hy-AM"/>
        </w:rPr>
        <w:t xml:space="preserve"> ՀՀ արդարադատության</w:t>
      </w:r>
      <w:r w:rsidRPr="008065E1">
        <w:rPr>
          <w:rFonts w:ascii="GHEA Grapalat" w:hAnsi="GHEA Grapalat"/>
          <w:lang w:val="hy-AM"/>
        </w:rPr>
        <w:t xml:space="preserve"> </w:t>
      </w:r>
      <w:r w:rsidR="003A29D1" w:rsidRPr="008065E1">
        <w:rPr>
          <w:rFonts w:ascii="GHEA Grapalat" w:hAnsi="GHEA Grapalat"/>
          <w:lang w:val="hy-AM"/>
        </w:rPr>
        <w:t>խ</w:t>
      </w:r>
      <w:r w:rsidRPr="008065E1">
        <w:rPr>
          <w:rFonts w:ascii="GHEA Grapalat" w:hAnsi="GHEA Grapalat"/>
          <w:lang w:val="hy-AM"/>
        </w:rPr>
        <w:t>որհրդին զեկուցելու համար:</w:t>
      </w:r>
    </w:p>
    <w:p w:rsidR="00862CFE" w:rsidRPr="008065E1" w:rsidRDefault="00862CFE" w:rsidP="00E538EE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8065E1">
        <w:rPr>
          <w:rFonts w:ascii="GHEA Grapalat" w:hAnsi="GHEA Grapalat"/>
          <w:lang w:val="hy-AM"/>
        </w:rPr>
        <w:lastRenderedPageBreak/>
        <w:t xml:space="preserve">2004 թվականի ապրիլի 27-ին ՀՀ արդարադատության խորհուրդն ընդունել է եզրակացություն՝ </w:t>
      </w:r>
      <w:r w:rsidR="00726ED9" w:rsidRPr="008065E1">
        <w:rPr>
          <w:rFonts w:ascii="GHEA Grapalat" w:hAnsi="GHEA Grapalat"/>
          <w:lang w:val="hy-AM"/>
        </w:rPr>
        <w:t xml:space="preserve">Հայաստանի Հանրապետության </w:t>
      </w:r>
      <w:r w:rsidR="00827772" w:rsidRPr="008065E1">
        <w:rPr>
          <w:rFonts w:ascii="GHEA Grapalat" w:hAnsi="GHEA Grapalat"/>
          <w:lang w:val="hy-AM"/>
        </w:rPr>
        <w:t>Ն</w:t>
      </w:r>
      <w:r w:rsidR="00726ED9" w:rsidRPr="008065E1">
        <w:rPr>
          <w:rFonts w:ascii="GHEA Grapalat" w:hAnsi="GHEA Grapalat"/>
          <w:lang w:val="hy-AM"/>
        </w:rPr>
        <w:t xml:space="preserve">ախագահին </w:t>
      </w:r>
      <w:r w:rsidRPr="008065E1">
        <w:rPr>
          <w:rFonts w:ascii="GHEA Grapalat" w:hAnsi="GHEA Grapalat"/>
          <w:lang w:val="hy-AM"/>
        </w:rPr>
        <w:t>առաջարկելով դադարեցնել դիմումատուի լիազորությունները որպես դատավոր:</w:t>
      </w:r>
    </w:p>
    <w:p w:rsidR="00726ED9" w:rsidRPr="008065E1" w:rsidRDefault="00726ED9" w:rsidP="00E538EE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8065E1">
        <w:rPr>
          <w:rFonts w:ascii="GHEA Grapalat" w:hAnsi="GHEA Grapalat"/>
          <w:lang w:val="hy-AM"/>
        </w:rPr>
        <w:t xml:space="preserve">Հայաստանի Հանրապետության </w:t>
      </w:r>
      <w:r w:rsidR="00827772" w:rsidRPr="008065E1">
        <w:rPr>
          <w:rFonts w:ascii="GHEA Grapalat" w:hAnsi="GHEA Grapalat"/>
          <w:lang w:val="hy-AM"/>
        </w:rPr>
        <w:t>Ն</w:t>
      </w:r>
      <w:r w:rsidRPr="008065E1">
        <w:rPr>
          <w:rFonts w:ascii="GHEA Grapalat" w:hAnsi="GHEA Grapalat"/>
          <w:lang w:val="hy-AM"/>
        </w:rPr>
        <w:t>ախագահի 2004 թվականի ապրիլի 30-ի հրամանագրով դիմումատուն ազատվել է իր զբաղեցրած պաշտոնից:</w:t>
      </w:r>
    </w:p>
    <w:p w:rsidR="00726ED9" w:rsidRPr="008065E1" w:rsidRDefault="00726ED9" w:rsidP="00E538EE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8065E1">
        <w:rPr>
          <w:rFonts w:ascii="GHEA Grapalat" w:hAnsi="GHEA Grapalat"/>
          <w:lang w:val="hy-AM"/>
        </w:rPr>
        <w:t xml:space="preserve">2005 թվականի մարտի 15-ին դիմումատուն հայց է ներկայացրել Երևանի Կենտրոն և Նորք-Մարաշ համայնքների ընդհանուր իրավասության դատարան՝ պահանջելով չեղարկել Հայաստանի Հանրապետության </w:t>
      </w:r>
      <w:r w:rsidR="00827772" w:rsidRPr="008065E1">
        <w:rPr>
          <w:rFonts w:ascii="GHEA Grapalat" w:hAnsi="GHEA Grapalat"/>
          <w:lang w:val="hy-AM"/>
        </w:rPr>
        <w:t>Ն</w:t>
      </w:r>
      <w:r w:rsidRPr="008065E1">
        <w:rPr>
          <w:rFonts w:ascii="GHEA Grapalat" w:hAnsi="GHEA Grapalat"/>
          <w:lang w:val="hy-AM"/>
        </w:rPr>
        <w:t xml:space="preserve">ախագահի հրամանագիրը՝ դրա անօրինական լինելու պատճառաբանությամբ: </w:t>
      </w:r>
    </w:p>
    <w:p w:rsidR="00726ED9" w:rsidRPr="008065E1" w:rsidRDefault="009F5960" w:rsidP="00E538EE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8065E1">
        <w:rPr>
          <w:rFonts w:ascii="GHEA Grapalat" w:hAnsi="GHEA Grapalat"/>
          <w:lang w:val="hy-AM"/>
        </w:rPr>
        <w:t>2005 թվականի մայիսի 26-ին Կենտրոն և Նորք-Մարաշ համայնքների ընդհանուր իրավասության դատարանը կայացրել է գործը կարճելու մասին որոշում՝ այն հ</w:t>
      </w:r>
      <w:r w:rsidR="003A29D1" w:rsidRPr="008065E1">
        <w:rPr>
          <w:rFonts w:ascii="GHEA Grapalat" w:hAnsi="GHEA Grapalat"/>
          <w:lang w:val="hy-AM"/>
        </w:rPr>
        <w:t xml:space="preserve">իմքով, որ Ա.Սաղաթելյանի </w:t>
      </w:r>
      <w:r w:rsidRPr="008065E1">
        <w:rPr>
          <w:rFonts w:ascii="GHEA Grapalat" w:hAnsi="GHEA Grapalat"/>
          <w:lang w:val="hy-AM"/>
        </w:rPr>
        <w:t>հայցն ընդհանուր իրավասության դատարանի կողմից քննության ենթակա չէ:</w:t>
      </w:r>
    </w:p>
    <w:p w:rsidR="009F5960" w:rsidRPr="008065E1" w:rsidRDefault="009F5960" w:rsidP="00E538EE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8065E1">
        <w:rPr>
          <w:rFonts w:ascii="GHEA Grapalat" w:hAnsi="GHEA Grapalat"/>
          <w:lang w:val="hy-AM"/>
        </w:rPr>
        <w:t>2005 թվականի հունիսի 7-ին դիմումատուն ներկայացրել է վերաքննիչ բողոք, որը ՀՀ քաղաքացիական վերաքննիչ դատարանի 2005 թվականի հուլիսի 13-ի որոշմամբ մերժվել է՝ անհիմն լինելու պատճառաբանությամբ:</w:t>
      </w:r>
    </w:p>
    <w:p w:rsidR="009F5960" w:rsidRPr="008065E1" w:rsidRDefault="003A29D1" w:rsidP="00E538EE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8065E1">
        <w:rPr>
          <w:rFonts w:ascii="GHEA Grapalat" w:hAnsi="GHEA Grapalat"/>
          <w:lang w:val="hy-AM"/>
        </w:rPr>
        <w:t>Ո</w:t>
      </w:r>
      <w:r w:rsidR="009F5960" w:rsidRPr="008065E1">
        <w:rPr>
          <w:rFonts w:ascii="GHEA Grapalat" w:hAnsi="GHEA Grapalat"/>
          <w:lang w:val="hy-AM"/>
        </w:rPr>
        <w:t>րոշումը դիմումատուն բողոքարկել է վճռաբեկության կարգով:</w:t>
      </w:r>
    </w:p>
    <w:p w:rsidR="009F5960" w:rsidRPr="008065E1" w:rsidRDefault="009F5960" w:rsidP="00E538EE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8065E1">
        <w:rPr>
          <w:rFonts w:ascii="GHEA Grapalat" w:hAnsi="GHEA Grapalat"/>
          <w:lang w:val="hy-AM"/>
        </w:rPr>
        <w:t>ՀՀ վճռաբեկ դատարանը 2005 թվականի օգոստոսի 5-ի որոշմամբ բեկանել է ՀՀ քաղաքացիական վերաքննիչ դատարանի որոշումը և կայացրել է քաղաքացիական գործի վարույթը կարճելու մասին որոշում</w:t>
      </w:r>
      <w:r w:rsidR="005F1543" w:rsidRPr="008065E1">
        <w:rPr>
          <w:rFonts w:ascii="GHEA Grapalat" w:hAnsi="GHEA Grapalat"/>
          <w:lang w:val="hy-AM"/>
        </w:rPr>
        <w:t>՝</w:t>
      </w:r>
      <w:r w:rsidRPr="008065E1">
        <w:rPr>
          <w:rFonts w:ascii="GHEA Grapalat" w:hAnsi="GHEA Grapalat"/>
          <w:lang w:val="hy-AM"/>
        </w:rPr>
        <w:t xml:space="preserve"> այն նույն հիմքերով, որոնք վկայակոչվել են ընդհանուր իրավասության դատարանի կողմից:</w:t>
      </w:r>
    </w:p>
    <w:p w:rsidR="00947DC7" w:rsidRPr="008065E1" w:rsidRDefault="00947DC7" w:rsidP="00E538EE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752866" w:rsidRPr="008065E1" w:rsidRDefault="00752866" w:rsidP="00E538EE">
      <w:pPr>
        <w:spacing w:line="360" w:lineRule="auto"/>
        <w:ind w:firstLine="567"/>
        <w:jc w:val="both"/>
        <w:rPr>
          <w:b/>
          <w:lang w:val="hy-AM"/>
        </w:rPr>
      </w:pPr>
      <w:r w:rsidRPr="008065E1">
        <w:rPr>
          <w:b/>
          <w:lang w:val="hy-AM"/>
        </w:rPr>
        <w:t xml:space="preserve">Սույն գործով </w:t>
      </w:r>
      <w:r w:rsidR="00BA48FA" w:rsidRPr="008065E1">
        <w:rPr>
          <w:b/>
          <w:lang w:val="hy-AM"/>
        </w:rPr>
        <w:t>2015 թվականի հոկտեմբերի 30</w:t>
      </w:r>
      <w:r w:rsidR="00BA48FA" w:rsidRPr="008065E1">
        <w:rPr>
          <w:b/>
          <w:lang w:val="hy-AM"/>
        </w:rPr>
        <w:noBreakHyphen/>
        <w:t xml:space="preserve">ին </w:t>
      </w:r>
      <w:r w:rsidRPr="008065E1">
        <w:rPr>
          <w:b/>
          <w:lang w:val="hy-AM"/>
        </w:rPr>
        <w:t xml:space="preserve">Եվրոպական դատարանի </w:t>
      </w:r>
      <w:r w:rsidR="00BA48FA" w:rsidRPr="008065E1">
        <w:rPr>
          <w:b/>
          <w:lang w:val="hy-AM"/>
        </w:rPr>
        <w:t>կայացրած վճռով</w:t>
      </w:r>
      <w:r w:rsidRPr="008065E1">
        <w:rPr>
          <w:b/>
          <w:lang w:val="hy-AM"/>
        </w:rPr>
        <w:t xml:space="preserve"> արձանագրվել է, որ </w:t>
      </w:r>
      <w:r w:rsidR="00BA48FA" w:rsidRPr="008065E1">
        <w:rPr>
          <w:b/>
          <w:lang w:val="hy-AM"/>
        </w:rPr>
        <w:t xml:space="preserve">խախտվել է </w:t>
      </w:r>
      <w:r w:rsidRPr="008065E1">
        <w:rPr>
          <w:b/>
          <w:lang w:val="hy-AM"/>
        </w:rPr>
        <w:t xml:space="preserve">Կոնվենցիայի </w:t>
      </w:r>
      <w:r w:rsidR="00947DC7" w:rsidRPr="008065E1">
        <w:rPr>
          <w:b/>
          <w:lang w:val="hy-AM"/>
        </w:rPr>
        <w:t>6</w:t>
      </w:r>
      <w:r w:rsidRPr="008065E1">
        <w:rPr>
          <w:b/>
          <w:lang w:val="hy-AM"/>
        </w:rPr>
        <w:t xml:space="preserve">-րդ հոդվածի </w:t>
      </w:r>
      <w:r w:rsidR="00947DC7" w:rsidRPr="008065E1">
        <w:rPr>
          <w:b/>
          <w:lang w:val="hy-AM"/>
        </w:rPr>
        <w:t>1-ին կետ</w:t>
      </w:r>
      <w:r w:rsidR="00BA48FA" w:rsidRPr="008065E1">
        <w:rPr>
          <w:b/>
          <w:lang w:val="hy-AM"/>
        </w:rPr>
        <w:t>ը</w:t>
      </w:r>
      <w:r w:rsidRPr="008065E1">
        <w:rPr>
          <w:b/>
          <w:lang w:val="hy-AM"/>
        </w:rPr>
        <w:t>:</w:t>
      </w:r>
    </w:p>
    <w:p w:rsidR="003A29D1" w:rsidRPr="008065E1" w:rsidRDefault="00752866" w:rsidP="00E538EE">
      <w:pPr>
        <w:spacing w:line="360" w:lineRule="auto"/>
        <w:ind w:firstLine="567"/>
        <w:jc w:val="both"/>
        <w:rPr>
          <w:lang w:val="hy-AM"/>
        </w:rPr>
      </w:pPr>
      <w:r w:rsidRPr="008065E1">
        <w:rPr>
          <w:lang w:val="hy-AM"/>
        </w:rPr>
        <w:t xml:space="preserve">Մասնավորապես, Եվրոպական </w:t>
      </w:r>
      <w:r w:rsidR="00BA48FA" w:rsidRPr="008065E1">
        <w:rPr>
          <w:lang w:val="hy-AM"/>
        </w:rPr>
        <w:t>դատարանն արձանագրել է</w:t>
      </w:r>
      <w:r w:rsidRPr="008065E1">
        <w:rPr>
          <w:lang w:val="hy-AM"/>
        </w:rPr>
        <w:t xml:space="preserve">, որ դիմումատուն </w:t>
      </w:r>
      <w:r w:rsidR="00947DC7" w:rsidRPr="008065E1">
        <w:rPr>
          <w:lang w:val="hy-AM"/>
        </w:rPr>
        <w:t xml:space="preserve">զրկված է եղել իր լիազորությունները դադարեցնելու վերաբերյալ Հայաստանի Հանրապետության </w:t>
      </w:r>
      <w:r w:rsidR="00BA48FA" w:rsidRPr="008065E1">
        <w:rPr>
          <w:lang w:val="hy-AM"/>
        </w:rPr>
        <w:t>Ն</w:t>
      </w:r>
      <w:r w:rsidR="00947DC7" w:rsidRPr="008065E1">
        <w:rPr>
          <w:lang w:val="hy-AM"/>
        </w:rPr>
        <w:t xml:space="preserve">ախագահի 2004 թվականի ապրիլի 30-ի հրամանագրի օրինականությունը դատական կարգով վիճարկելու հնարավորությունից: </w:t>
      </w:r>
    </w:p>
    <w:p w:rsidR="00BD772A" w:rsidRPr="008065E1" w:rsidRDefault="00EF7DFA" w:rsidP="00E538EE">
      <w:pPr>
        <w:spacing w:line="360" w:lineRule="auto"/>
        <w:ind w:firstLine="567"/>
        <w:jc w:val="both"/>
        <w:rPr>
          <w:lang w:val="hy-AM"/>
        </w:rPr>
      </w:pPr>
      <w:r w:rsidRPr="008065E1">
        <w:rPr>
          <w:lang w:val="hy-AM"/>
        </w:rPr>
        <w:lastRenderedPageBreak/>
        <w:t xml:space="preserve">Համաձայն </w:t>
      </w:r>
      <w:r w:rsidR="003A29D1" w:rsidRPr="008065E1">
        <w:rPr>
          <w:lang w:val="hy-AM"/>
        </w:rPr>
        <w:t>Եվրոպական դ</w:t>
      </w:r>
      <w:r w:rsidRPr="008065E1">
        <w:rPr>
          <w:lang w:val="hy-AM"/>
        </w:rPr>
        <w:t xml:space="preserve">ատարանի մեկնաբանման՝ նման պայմաններում, ինչպես նաև հաշվի առնելով այն հանգամանքը, որ քննարկվող ժամանակահատվածում անհատները զրկված են եղել նաև ՀՀ սահմանադրական դատարան դիմելու իրավունքից (դա </w:t>
      </w:r>
      <w:r w:rsidR="003265F2" w:rsidRPr="008065E1">
        <w:rPr>
          <w:lang w:val="hy-AM"/>
        </w:rPr>
        <w:t>հնար</w:t>
      </w:r>
      <w:r w:rsidRPr="008065E1">
        <w:rPr>
          <w:lang w:val="hy-AM"/>
        </w:rPr>
        <w:t>ավորություն կընձեռեր դիմումատուին վիճարկելու Նախագահի հրամանագրի սահմանադրականությունը</w:t>
      </w:r>
      <w:r w:rsidR="00BA48FA" w:rsidRPr="008065E1">
        <w:rPr>
          <w:lang w:val="hy-AM"/>
        </w:rPr>
        <w:t>)՝</w:t>
      </w:r>
      <w:r w:rsidRPr="008065E1">
        <w:rPr>
          <w:lang w:val="hy-AM"/>
        </w:rPr>
        <w:t xml:space="preserve"> դիմումատուն զրկված է եղել դատարանի կամ Կոնվենցիայի 6-րդ հոդվածի իմաստով դատարան համարվող որևէ իրավասու մարմնի մատչելիության իրավունքից՝ իր </w:t>
      </w:r>
      <w:r w:rsidR="002B276E" w:rsidRPr="008065E1">
        <w:rPr>
          <w:lang w:val="hy-AM"/>
        </w:rPr>
        <w:t xml:space="preserve">իրավունքների </w:t>
      </w:r>
      <w:r w:rsidR="003265F2" w:rsidRPr="008065E1">
        <w:rPr>
          <w:lang w:val="hy-AM"/>
        </w:rPr>
        <w:t>հնար</w:t>
      </w:r>
      <w:r w:rsidR="002B276E" w:rsidRPr="008065E1">
        <w:rPr>
          <w:lang w:val="hy-AM"/>
        </w:rPr>
        <w:t>ավոր խախտումները վերացնելու համար:</w:t>
      </w:r>
    </w:p>
    <w:p w:rsidR="002B276E" w:rsidRPr="008065E1" w:rsidRDefault="003A29D1" w:rsidP="00E538EE">
      <w:pPr>
        <w:spacing w:line="360" w:lineRule="auto"/>
        <w:ind w:firstLine="567"/>
        <w:jc w:val="both"/>
        <w:rPr>
          <w:lang w:val="hy-AM"/>
        </w:rPr>
      </w:pPr>
      <w:r w:rsidRPr="008065E1">
        <w:rPr>
          <w:lang w:val="hy-AM"/>
        </w:rPr>
        <w:t>Եվրոպական դ</w:t>
      </w:r>
      <w:r w:rsidR="00BD772A" w:rsidRPr="008065E1">
        <w:rPr>
          <w:lang w:val="hy-AM"/>
        </w:rPr>
        <w:t xml:space="preserve">ատարանը նաև քննարկել է ՀՀ արդարադատության խորհրդի՝ Կոնվենցիայի 6-րդ հոդվածի 1-ին կետի ներքո «անկախ և անաչառ դատարան» համարվելու հանգամանքը և գտել, որ այն չէր կարող լինել </w:t>
      </w:r>
      <w:r w:rsidR="003265F2" w:rsidRPr="008065E1">
        <w:rPr>
          <w:lang w:val="hy-AM"/>
        </w:rPr>
        <w:t>այդ</w:t>
      </w:r>
      <w:r w:rsidR="00BD772A" w:rsidRPr="008065E1">
        <w:rPr>
          <w:lang w:val="hy-AM"/>
        </w:rPr>
        <w:t xml:space="preserve">պիսին՝ հատկապես հաշվի առնելով տվյալ ժամանակահատվածում դրա կազմի ձևավորման հանգամանքը։ </w:t>
      </w:r>
    </w:p>
    <w:p w:rsidR="002B276E" w:rsidRPr="008065E1" w:rsidRDefault="003A29D1" w:rsidP="00E538EE">
      <w:pPr>
        <w:spacing w:line="360" w:lineRule="auto"/>
        <w:ind w:firstLine="567"/>
        <w:jc w:val="both"/>
        <w:rPr>
          <w:lang w:val="hy-AM"/>
        </w:rPr>
      </w:pPr>
      <w:r w:rsidRPr="008065E1">
        <w:rPr>
          <w:lang w:val="hy-AM"/>
        </w:rPr>
        <w:t>Եվրոպական դ</w:t>
      </w:r>
      <w:r w:rsidR="002B276E" w:rsidRPr="008065E1">
        <w:rPr>
          <w:lang w:val="hy-AM"/>
        </w:rPr>
        <w:t xml:space="preserve">ատարանը նաև </w:t>
      </w:r>
      <w:r w:rsidR="005F1543" w:rsidRPr="008065E1">
        <w:rPr>
          <w:lang w:val="hy-AM"/>
        </w:rPr>
        <w:t xml:space="preserve">անդրադարձել է այն </w:t>
      </w:r>
      <w:r w:rsidR="003265F2" w:rsidRPr="008065E1">
        <w:rPr>
          <w:lang w:val="hy-AM"/>
        </w:rPr>
        <w:t>հան</w:t>
      </w:r>
      <w:r w:rsidR="005F1543" w:rsidRPr="008065E1">
        <w:rPr>
          <w:lang w:val="hy-AM"/>
        </w:rPr>
        <w:t>գամանքին</w:t>
      </w:r>
      <w:r w:rsidR="002B276E" w:rsidRPr="008065E1">
        <w:rPr>
          <w:lang w:val="hy-AM"/>
        </w:rPr>
        <w:t xml:space="preserve">, որ ՀՀ սահմանադրական դատարանի 2006 թվականի նոյեմբերի 16-ի </w:t>
      </w:r>
      <w:r w:rsidR="005B6505" w:rsidRPr="008065E1">
        <w:rPr>
          <w:lang w:val="hy-AM"/>
        </w:rPr>
        <w:t xml:space="preserve">ՍԴՈ-663 </w:t>
      </w:r>
      <w:r w:rsidR="002B276E" w:rsidRPr="008065E1">
        <w:rPr>
          <w:lang w:val="hy-AM"/>
        </w:rPr>
        <w:t xml:space="preserve">որոշմամբ 160-րդ հոդվածի 2-րդ պարբերությունը ճանաչել է հակասահմանադրական՝ այն հիմնավորմամբ, </w:t>
      </w:r>
      <w:r w:rsidR="00BA48FA" w:rsidRPr="008065E1">
        <w:rPr>
          <w:lang w:val="hy-AM"/>
        </w:rPr>
        <w:t xml:space="preserve">որ </w:t>
      </w:r>
      <w:r w:rsidR="002B276E" w:rsidRPr="008065E1">
        <w:rPr>
          <w:lang w:val="hy-AM"/>
        </w:rPr>
        <w:t>դատարանների կողմից դրան տրված մեկնաբանության և կիրառության արդյունքում խախտվել է անհատների՝ դատական պաշտպանության իրավունքը:</w:t>
      </w:r>
    </w:p>
    <w:p w:rsidR="002B276E" w:rsidRPr="008065E1" w:rsidRDefault="002B276E" w:rsidP="00E538EE">
      <w:pPr>
        <w:spacing w:line="360" w:lineRule="auto"/>
        <w:ind w:firstLine="567"/>
        <w:jc w:val="both"/>
        <w:rPr>
          <w:lang w:val="hy-AM"/>
        </w:rPr>
      </w:pPr>
      <w:r w:rsidRPr="008065E1">
        <w:rPr>
          <w:lang w:val="hy-AM"/>
        </w:rPr>
        <w:t xml:space="preserve">Վերը շարադրվածի արդյունքում </w:t>
      </w:r>
      <w:r w:rsidR="00943C9D" w:rsidRPr="008065E1">
        <w:rPr>
          <w:lang w:val="hy-AM"/>
        </w:rPr>
        <w:t>Եվրոպական դ</w:t>
      </w:r>
      <w:r w:rsidRPr="008065E1">
        <w:rPr>
          <w:lang w:val="hy-AM"/>
        </w:rPr>
        <w:t xml:space="preserve">ատարանն արձանագրել է դիմումատուի՝ Կոնվենցիայի 6-րդ հոդվածի 1-ին կետով սահմանված «դատարանի մատչելիության» </w:t>
      </w:r>
      <w:r w:rsidR="005F1543" w:rsidRPr="008065E1">
        <w:rPr>
          <w:lang w:val="hy-AM"/>
        </w:rPr>
        <w:t>իրավունքի խախտում:</w:t>
      </w:r>
    </w:p>
    <w:p w:rsidR="008065E1" w:rsidRPr="008065E1" w:rsidRDefault="008065E1" w:rsidP="002B276E">
      <w:pPr>
        <w:spacing w:line="360" w:lineRule="auto"/>
        <w:ind w:firstLine="567"/>
        <w:jc w:val="both"/>
        <w:rPr>
          <w:b/>
          <w:lang w:val="hy-AM"/>
        </w:rPr>
      </w:pPr>
    </w:p>
    <w:p w:rsidR="00752866" w:rsidRPr="008065E1" w:rsidRDefault="00EF7DFA" w:rsidP="002B276E">
      <w:pPr>
        <w:spacing w:line="360" w:lineRule="auto"/>
        <w:ind w:firstLine="567"/>
        <w:jc w:val="both"/>
        <w:rPr>
          <w:rStyle w:val="sb8d990e2"/>
          <w:b/>
          <w:lang w:val="hy-AM"/>
        </w:rPr>
      </w:pPr>
      <w:r w:rsidRPr="008065E1">
        <w:rPr>
          <w:b/>
          <w:lang w:val="hy-AM"/>
        </w:rPr>
        <w:t xml:space="preserve"> </w:t>
      </w:r>
      <w:r w:rsidR="00752866" w:rsidRPr="008065E1">
        <w:rPr>
          <w:rStyle w:val="sb8d990e2"/>
          <w:b/>
          <w:lang w:val="hy-AM"/>
        </w:rPr>
        <w:t xml:space="preserve">Կոնվենցիայի </w:t>
      </w:r>
      <w:r w:rsidR="002B276E" w:rsidRPr="008065E1">
        <w:rPr>
          <w:rStyle w:val="sb8d990e2"/>
          <w:b/>
          <w:lang w:val="hy-AM"/>
        </w:rPr>
        <w:t>6</w:t>
      </w:r>
      <w:r w:rsidR="00752866" w:rsidRPr="008065E1">
        <w:rPr>
          <w:rStyle w:val="sb8d990e2"/>
          <w:b/>
          <w:lang w:val="hy-AM"/>
        </w:rPr>
        <w:t>-րդ հոդվածի</w:t>
      </w:r>
      <w:r w:rsidR="002B276E" w:rsidRPr="008065E1">
        <w:rPr>
          <w:rStyle w:val="sb8d990e2"/>
          <w:b/>
          <w:lang w:val="hy-AM"/>
        </w:rPr>
        <w:t xml:space="preserve"> ներքո դիմումատուի </w:t>
      </w:r>
      <w:r w:rsidR="005F1543" w:rsidRPr="008065E1">
        <w:rPr>
          <w:rStyle w:val="sb8d990e2"/>
          <w:b/>
          <w:lang w:val="hy-AM"/>
        </w:rPr>
        <w:t xml:space="preserve">կողմից ներկայացվել են </w:t>
      </w:r>
      <w:r w:rsidR="002B276E" w:rsidRPr="008065E1">
        <w:rPr>
          <w:rStyle w:val="sb8d990e2"/>
          <w:b/>
          <w:lang w:val="hy-AM"/>
        </w:rPr>
        <w:t xml:space="preserve">մի շարք այլ </w:t>
      </w:r>
      <w:r w:rsidR="005F1543" w:rsidRPr="008065E1">
        <w:rPr>
          <w:rStyle w:val="sb8d990e2"/>
          <w:b/>
          <w:lang w:val="hy-AM"/>
        </w:rPr>
        <w:t>պահանջներ</w:t>
      </w:r>
      <w:r w:rsidR="002B276E" w:rsidRPr="008065E1">
        <w:rPr>
          <w:rStyle w:val="sb8d990e2"/>
          <w:b/>
          <w:lang w:val="hy-AM"/>
        </w:rPr>
        <w:t xml:space="preserve">, </w:t>
      </w:r>
      <w:r w:rsidR="005F1543" w:rsidRPr="008065E1">
        <w:rPr>
          <w:rStyle w:val="sb8d990e2"/>
          <w:b/>
          <w:lang w:val="hy-AM"/>
        </w:rPr>
        <w:t xml:space="preserve">որոնք </w:t>
      </w:r>
      <w:r w:rsidR="00752866" w:rsidRPr="008065E1">
        <w:rPr>
          <w:rStyle w:val="sb8d990e2"/>
          <w:b/>
          <w:lang w:val="hy-AM"/>
        </w:rPr>
        <w:t xml:space="preserve">Դատարանը </w:t>
      </w:r>
      <w:r w:rsidR="002B276E" w:rsidRPr="008065E1">
        <w:rPr>
          <w:rStyle w:val="sb8d990e2"/>
          <w:b/>
          <w:lang w:val="hy-AM"/>
        </w:rPr>
        <w:t>անհիմն է ճանաչել և մերժել:</w:t>
      </w:r>
    </w:p>
    <w:p w:rsidR="00BD772A" w:rsidRPr="008065E1" w:rsidRDefault="00BD772A" w:rsidP="002B276E">
      <w:pPr>
        <w:spacing w:line="360" w:lineRule="auto"/>
        <w:ind w:firstLine="567"/>
        <w:jc w:val="both"/>
        <w:rPr>
          <w:rStyle w:val="sb8d990e2"/>
          <w:b/>
          <w:lang w:val="hy-AM"/>
        </w:rPr>
      </w:pPr>
    </w:p>
    <w:p w:rsidR="00BD772A" w:rsidRPr="008065E1" w:rsidRDefault="00BD772A" w:rsidP="00BD772A">
      <w:pPr>
        <w:spacing w:line="360" w:lineRule="auto"/>
        <w:ind w:firstLine="567"/>
        <w:jc w:val="both"/>
        <w:rPr>
          <w:lang w:val="hy-AM"/>
        </w:rPr>
      </w:pPr>
      <w:r w:rsidRPr="008065E1">
        <w:rPr>
          <w:lang w:val="hy-AM"/>
        </w:rPr>
        <w:t xml:space="preserve">Դիմումատուն </w:t>
      </w:r>
      <w:r w:rsidR="00943C9D" w:rsidRPr="008065E1">
        <w:rPr>
          <w:lang w:val="hy-AM"/>
        </w:rPr>
        <w:t>Եվրոպական դ</w:t>
      </w:r>
      <w:r w:rsidR="003265F2" w:rsidRPr="008065E1">
        <w:rPr>
          <w:lang w:val="hy-AM"/>
        </w:rPr>
        <w:t xml:space="preserve">ատարանից պահանջել է շուրջ 43,760 եվրոյին համարժեք ՀՀ դրամի փոխհատուցում կրած նյութական վնասի համար և շուրջ 2,350 եվրոյին համարժեք փոխհատուցում՝ ծախսերի և ծախքերի համար։ Ոչ նյութական </w:t>
      </w:r>
      <w:r w:rsidR="003265F2" w:rsidRPr="008065E1">
        <w:rPr>
          <w:lang w:val="hy-AM"/>
        </w:rPr>
        <w:lastRenderedPageBreak/>
        <w:t xml:space="preserve">վնասի հատուցման չափը որոշելու հարցը դիմումատուն թողել է Դատարանի հայեցողությանը։ </w:t>
      </w:r>
    </w:p>
    <w:p w:rsidR="00BD772A" w:rsidRPr="008065E1" w:rsidRDefault="00BD772A" w:rsidP="00BD772A">
      <w:pPr>
        <w:spacing w:line="360" w:lineRule="auto"/>
        <w:ind w:firstLine="567"/>
        <w:jc w:val="both"/>
        <w:rPr>
          <w:lang w:val="hy-AM"/>
        </w:rPr>
      </w:pPr>
      <w:r w:rsidRPr="008065E1">
        <w:rPr>
          <w:b/>
          <w:lang w:val="hy-AM"/>
        </w:rPr>
        <w:t>Գործի քննության արդյունքում Եվրոպական դատարանը վճռել է դիմումատուին շնորհել՝</w:t>
      </w:r>
    </w:p>
    <w:p w:rsidR="00BD772A" w:rsidRPr="008065E1" w:rsidRDefault="00BD772A" w:rsidP="00BD772A">
      <w:pPr>
        <w:pStyle w:val="ListParagraph"/>
        <w:numPr>
          <w:ilvl w:val="0"/>
          <w:numId w:val="6"/>
        </w:numPr>
        <w:spacing w:line="360" w:lineRule="auto"/>
        <w:ind w:left="924" w:hanging="357"/>
        <w:jc w:val="both"/>
        <w:rPr>
          <w:lang w:val="hy-AM"/>
        </w:rPr>
      </w:pPr>
      <w:r w:rsidRPr="008065E1">
        <w:rPr>
          <w:lang w:val="hy-AM"/>
        </w:rPr>
        <w:t>3</w:t>
      </w:r>
      <w:r w:rsidR="00943C9D" w:rsidRPr="008065E1">
        <w:rPr>
          <w:lang w:val="hy-AM"/>
        </w:rPr>
        <w:t>,6</w:t>
      </w:r>
      <w:r w:rsidRPr="008065E1">
        <w:rPr>
          <w:lang w:val="hy-AM"/>
        </w:rPr>
        <w:t xml:space="preserve">00 եվրոյին համարժեք ՀՀ դրամ՝ որպես ոչ նյութական վնասի հատուցում. </w:t>
      </w:r>
    </w:p>
    <w:p w:rsidR="00BD772A" w:rsidRPr="008065E1" w:rsidRDefault="00BD772A" w:rsidP="00BD772A">
      <w:pPr>
        <w:pStyle w:val="ListParagraph"/>
        <w:numPr>
          <w:ilvl w:val="0"/>
          <w:numId w:val="6"/>
        </w:numPr>
        <w:spacing w:line="360" w:lineRule="auto"/>
        <w:ind w:left="924" w:hanging="357"/>
        <w:jc w:val="both"/>
        <w:rPr>
          <w:lang w:val="hy-AM"/>
        </w:rPr>
      </w:pPr>
      <w:r w:rsidRPr="008065E1">
        <w:rPr>
          <w:lang w:val="hy-AM"/>
        </w:rPr>
        <w:t>1,300 եվրոյին համարժեք ՀՀ դրամ՝ որպես ծախսերի և ծախքերի համար հատուցում:</w:t>
      </w:r>
    </w:p>
    <w:p w:rsidR="00BD772A" w:rsidRPr="008065E1" w:rsidRDefault="00BD772A" w:rsidP="00BD772A">
      <w:pPr>
        <w:ind w:firstLine="567"/>
        <w:jc w:val="both"/>
        <w:rPr>
          <w:lang w:val="hy-AM"/>
        </w:rPr>
      </w:pPr>
    </w:p>
    <w:p w:rsidR="00BD772A" w:rsidRPr="008065E1" w:rsidRDefault="00BD772A" w:rsidP="002B276E">
      <w:pPr>
        <w:spacing w:line="360" w:lineRule="auto"/>
        <w:ind w:firstLine="567"/>
        <w:jc w:val="both"/>
        <w:rPr>
          <w:rStyle w:val="sb8d990e2"/>
          <w:b/>
          <w:lang w:val="hy-AM"/>
        </w:rPr>
      </w:pPr>
    </w:p>
    <w:sectPr w:rsidR="00BD772A" w:rsidRPr="008065E1" w:rsidSect="000B22AF">
      <w:footerReference w:type="default" r:id="rId8"/>
      <w:pgSz w:w="11906" w:h="16838" w:code="9"/>
      <w:pgMar w:top="1276" w:right="1133" w:bottom="993" w:left="1276" w:header="709" w:footer="74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6300" w:rsidRDefault="00306300" w:rsidP="002A1BC7">
      <w:r>
        <w:separator/>
      </w:r>
    </w:p>
  </w:endnote>
  <w:endnote w:type="continuationSeparator" w:id="0">
    <w:p w:rsidR="00306300" w:rsidRDefault="00306300" w:rsidP="002A1B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9D9" w:rsidRDefault="007301FC">
    <w:pPr>
      <w:pStyle w:val="Footer"/>
      <w:jc w:val="center"/>
    </w:pPr>
    <w:fldSimple w:instr=" PAGE   \* MERGEFORMAT ">
      <w:r w:rsidR="008065E1">
        <w:rPr>
          <w:noProof/>
        </w:rPr>
        <w:t>4</w:t>
      </w:r>
    </w:fldSimple>
  </w:p>
  <w:p w:rsidR="00F429D9" w:rsidRDefault="00F429D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6300" w:rsidRDefault="00306300" w:rsidP="002A1BC7">
      <w:r>
        <w:separator/>
      </w:r>
    </w:p>
  </w:footnote>
  <w:footnote w:type="continuationSeparator" w:id="0">
    <w:p w:rsidR="00306300" w:rsidRDefault="00306300" w:rsidP="002A1B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A09AA"/>
    <w:multiLevelType w:val="hybridMultilevel"/>
    <w:tmpl w:val="8F30C92E"/>
    <w:lvl w:ilvl="0" w:tplc="7F62320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CD7C70"/>
    <w:multiLevelType w:val="hybridMultilevel"/>
    <w:tmpl w:val="9D2E86A2"/>
    <w:lvl w:ilvl="0" w:tplc="51964D08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CBB7A48"/>
    <w:multiLevelType w:val="hybridMultilevel"/>
    <w:tmpl w:val="64521B3E"/>
    <w:lvl w:ilvl="0" w:tplc="A122FF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7CE4A60"/>
    <w:multiLevelType w:val="hybridMultilevel"/>
    <w:tmpl w:val="3752D378"/>
    <w:lvl w:ilvl="0" w:tplc="50009072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AA81CAA"/>
    <w:multiLevelType w:val="hybridMultilevel"/>
    <w:tmpl w:val="47A61742"/>
    <w:lvl w:ilvl="0" w:tplc="A5E4CF3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BA42894"/>
    <w:multiLevelType w:val="hybridMultilevel"/>
    <w:tmpl w:val="F244DCA8"/>
    <w:lvl w:ilvl="0" w:tplc="1FBCEFF4">
      <w:start w:val="2004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6">
    <w:nsid w:val="722956FD"/>
    <w:multiLevelType w:val="hybridMultilevel"/>
    <w:tmpl w:val="BF6C09B4"/>
    <w:lvl w:ilvl="0" w:tplc="8EEA2E8A">
      <w:start w:val="1"/>
      <w:numFmt w:val="decimal"/>
      <w:lvlText w:val="%1)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6BF0"/>
    <w:rsid w:val="0002693E"/>
    <w:rsid w:val="0008259A"/>
    <w:rsid w:val="000A6924"/>
    <w:rsid w:val="000B22AF"/>
    <w:rsid w:val="000C09B6"/>
    <w:rsid w:val="000E6FAB"/>
    <w:rsid w:val="001426A5"/>
    <w:rsid w:val="00173A97"/>
    <w:rsid w:val="001B024B"/>
    <w:rsid w:val="001D4346"/>
    <w:rsid w:val="0022021E"/>
    <w:rsid w:val="00231464"/>
    <w:rsid w:val="00240D4B"/>
    <w:rsid w:val="00242287"/>
    <w:rsid w:val="002473D6"/>
    <w:rsid w:val="00261080"/>
    <w:rsid w:val="002A1BC7"/>
    <w:rsid w:val="002A4209"/>
    <w:rsid w:val="002A55EF"/>
    <w:rsid w:val="002A6A71"/>
    <w:rsid w:val="002B276E"/>
    <w:rsid w:val="002C24DC"/>
    <w:rsid w:val="002E72FE"/>
    <w:rsid w:val="00306300"/>
    <w:rsid w:val="00321542"/>
    <w:rsid w:val="003265F2"/>
    <w:rsid w:val="00326673"/>
    <w:rsid w:val="00335FFB"/>
    <w:rsid w:val="00360710"/>
    <w:rsid w:val="00361C87"/>
    <w:rsid w:val="0038463C"/>
    <w:rsid w:val="003A1268"/>
    <w:rsid w:val="003A29D1"/>
    <w:rsid w:val="003B2CE5"/>
    <w:rsid w:val="003F2A2F"/>
    <w:rsid w:val="00400F49"/>
    <w:rsid w:val="0046251E"/>
    <w:rsid w:val="00476EFD"/>
    <w:rsid w:val="0048653B"/>
    <w:rsid w:val="00493213"/>
    <w:rsid w:val="00496D51"/>
    <w:rsid w:val="004A7445"/>
    <w:rsid w:val="004B21E2"/>
    <w:rsid w:val="004C3076"/>
    <w:rsid w:val="004C76E4"/>
    <w:rsid w:val="004D27D1"/>
    <w:rsid w:val="004E377B"/>
    <w:rsid w:val="004F1F4E"/>
    <w:rsid w:val="00506633"/>
    <w:rsid w:val="00507D9A"/>
    <w:rsid w:val="00521F21"/>
    <w:rsid w:val="0053013E"/>
    <w:rsid w:val="005614E3"/>
    <w:rsid w:val="00567424"/>
    <w:rsid w:val="005B6505"/>
    <w:rsid w:val="005F1543"/>
    <w:rsid w:val="005F1DD7"/>
    <w:rsid w:val="00620848"/>
    <w:rsid w:val="00625886"/>
    <w:rsid w:val="0063030B"/>
    <w:rsid w:val="00636984"/>
    <w:rsid w:val="006466D2"/>
    <w:rsid w:val="006B5D98"/>
    <w:rsid w:val="006C26AB"/>
    <w:rsid w:val="006C3323"/>
    <w:rsid w:val="00702867"/>
    <w:rsid w:val="00704E39"/>
    <w:rsid w:val="00710B9C"/>
    <w:rsid w:val="007146D5"/>
    <w:rsid w:val="007216BF"/>
    <w:rsid w:val="00725B21"/>
    <w:rsid w:val="00726D87"/>
    <w:rsid w:val="00726ED9"/>
    <w:rsid w:val="00727B5E"/>
    <w:rsid w:val="007301FC"/>
    <w:rsid w:val="007440D6"/>
    <w:rsid w:val="00752866"/>
    <w:rsid w:val="00752F4B"/>
    <w:rsid w:val="00760378"/>
    <w:rsid w:val="007C100F"/>
    <w:rsid w:val="007C49C7"/>
    <w:rsid w:val="007C73FC"/>
    <w:rsid w:val="007E002F"/>
    <w:rsid w:val="008065E1"/>
    <w:rsid w:val="00827772"/>
    <w:rsid w:val="008373F7"/>
    <w:rsid w:val="00837B4B"/>
    <w:rsid w:val="008419E6"/>
    <w:rsid w:val="00842B14"/>
    <w:rsid w:val="00862CFE"/>
    <w:rsid w:val="0086729D"/>
    <w:rsid w:val="008679FA"/>
    <w:rsid w:val="00894645"/>
    <w:rsid w:val="008B6BF0"/>
    <w:rsid w:val="008D30EF"/>
    <w:rsid w:val="008E0619"/>
    <w:rsid w:val="0091065D"/>
    <w:rsid w:val="00943C9D"/>
    <w:rsid w:val="00947DC7"/>
    <w:rsid w:val="00970625"/>
    <w:rsid w:val="00982E18"/>
    <w:rsid w:val="00984A95"/>
    <w:rsid w:val="00993D08"/>
    <w:rsid w:val="009B2B73"/>
    <w:rsid w:val="009D1692"/>
    <w:rsid w:val="009D38D9"/>
    <w:rsid w:val="009E6924"/>
    <w:rsid w:val="009F5960"/>
    <w:rsid w:val="00A23B30"/>
    <w:rsid w:val="00A2423C"/>
    <w:rsid w:val="00A37090"/>
    <w:rsid w:val="00A440F4"/>
    <w:rsid w:val="00A451EF"/>
    <w:rsid w:val="00A513B6"/>
    <w:rsid w:val="00A51886"/>
    <w:rsid w:val="00A6590F"/>
    <w:rsid w:val="00A66621"/>
    <w:rsid w:val="00A93537"/>
    <w:rsid w:val="00A9664B"/>
    <w:rsid w:val="00AA4CAD"/>
    <w:rsid w:val="00AA7CCD"/>
    <w:rsid w:val="00AB18CC"/>
    <w:rsid w:val="00AB71F1"/>
    <w:rsid w:val="00AF00E8"/>
    <w:rsid w:val="00B0102F"/>
    <w:rsid w:val="00B17889"/>
    <w:rsid w:val="00B24B7C"/>
    <w:rsid w:val="00B36D1C"/>
    <w:rsid w:val="00B407BA"/>
    <w:rsid w:val="00B409A4"/>
    <w:rsid w:val="00B52C21"/>
    <w:rsid w:val="00B57BFD"/>
    <w:rsid w:val="00B8564D"/>
    <w:rsid w:val="00BA155E"/>
    <w:rsid w:val="00BA2862"/>
    <w:rsid w:val="00BA48FA"/>
    <w:rsid w:val="00BC580B"/>
    <w:rsid w:val="00BD772A"/>
    <w:rsid w:val="00BF0476"/>
    <w:rsid w:val="00BF4D82"/>
    <w:rsid w:val="00C022F5"/>
    <w:rsid w:val="00C35620"/>
    <w:rsid w:val="00C55035"/>
    <w:rsid w:val="00CA2335"/>
    <w:rsid w:val="00CB32D6"/>
    <w:rsid w:val="00D15829"/>
    <w:rsid w:val="00D26F30"/>
    <w:rsid w:val="00D414D6"/>
    <w:rsid w:val="00D53785"/>
    <w:rsid w:val="00D91319"/>
    <w:rsid w:val="00D914D3"/>
    <w:rsid w:val="00D95AA4"/>
    <w:rsid w:val="00D95C9A"/>
    <w:rsid w:val="00DA0CEC"/>
    <w:rsid w:val="00DC3A73"/>
    <w:rsid w:val="00DC79F5"/>
    <w:rsid w:val="00DD207B"/>
    <w:rsid w:val="00DD5EEF"/>
    <w:rsid w:val="00DE0820"/>
    <w:rsid w:val="00DF4391"/>
    <w:rsid w:val="00E05655"/>
    <w:rsid w:val="00E14E4B"/>
    <w:rsid w:val="00E20B27"/>
    <w:rsid w:val="00E25071"/>
    <w:rsid w:val="00E51171"/>
    <w:rsid w:val="00E538EE"/>
    <w:rsid w:val="00E6704C"/>
    <w:rsid w:val="00EF5417"/>
    <w:rsid w:val="00EF7DFA"/>
    <w:rsid w:val="00F2465D"/>
    <w:rsid w:val="00F24C63"/>
    <w:rsid w:val="00F259D9"/>
    <w:rsid w:val="00F33599"/>
    <w:rsid w:val="00F34675"/>
    <w:rsid w:val="00F429D9"/>
    <w:rsid w:val="00F42CA9"/>
    <w:rsid w:val="00F53C2D"/>
    <w:rsid w:val="00F542D2"/>
    <w:rsid w:val="00F67C4D"/>
    <w:rsid w:val="00F747F1"/>
    <w:rsid w:val="00F84AF5"/>
    <w:rsid w:val="00F91368"/>
    <w:rsid w:val="00FD0CC8"/>
    <w:rsid w:val="00FE42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6BF0"/>
    <w:rPr>
      <w:rFonts w:ascii="GHEA Grapalat" w:hAnsi="GHEA Grapalat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B6BF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8B6BF0"/>
    <w:rPr>
      <w:rFonts w:ascii="GHEA Grapalat" w:eastAsia="Times New Roman" w:hAnsi="GHEA Grapalat" w:cs="Times New Roman"/>
      <w:sz w:val="24"/>
      <w:szCs w:val="24"/>
    </w:rPr>
  </w:style>
  <w:style w:type="character" w:customStyle="1" w:styleId="sb8d990e2">
    <w:name w:val="sb8d990e2"/>
    <w:basedOn w:val="DefaultParagraphFont"/>
    <w:rsid w:val="00321542"/>
    <w:rPr>
      <w:rFonts w:cs="Times New Roman"/>
    </w:rPr>
  </w:style>
  <w:style w:type="character" w:customStyle="1" w:styleId="apple-converted-space">
    <w:name w:val="apple-converted-space"/>
    <w:basedOn w:val="DefaultParagraphFont"/>
    <w:rsid w:val="00321542"/>
    <w:rPr>
      <w:rFonts w:cs="Times New Roman"/>
    </w:rPr>
  </w:style>
  <w:style w:type="paragraph" w:customStyle="1" w:styleId="s30eec3f8">
    <w:name w:val="s30eec3f8"/>
    <w:basedOn w:val="Normal"/>
    <w:rsid w:val="00FD0CC8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paragraph" w:customStyle="1" w:styleId="s9e9b0cd7">
    <w:name w:val="s9e9b0cd7"/>
    <w:basedOn w:val="Normal"/>
    <w:uiPriority w:val="99"/>
    <w:rsid w:val="00FD0CC8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character" w:customStyle="1" w:styleId="sfbbfee58">
    <w:name w:val="sfbbfee58"/>
    <w:basedOn w:val="DefaultParagraphFont"/>
    <w:uiPriority w:val="99"/>
    <w:rsid w:val="00FD0CC8"/>
    <w:rPr>
      <w:rFonts w:cs="Times New Roman"/>
    </w:rPr>
  </w:style>
  <w:style w:type="character" w:customStyle="1" w:styleId="s6b621b36">
    <w:name w:val="s6b621b36"/>
    <w:basedOn w:val="DefaultParagraphFont"/>
    <w:rsid w:val="007216BF"/>
    <w:rPr>
      <w:rFonts w:cs="Times New Roman"/>
    </w:rPr>
  </w:style>
  <w:style w:type="paragraph" w:customStyle="1" w:styleId="s3e6e194">
    <w:name w:val="s3e6e194"/>
    <w:basedOn w:val="Normal"/>
    <w:uiPriority w:val="99"/>
    <w:rsid w:val="00AB18CC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paragraph" w:customStyle="1" w:styleId="s2c72c866">
    <w:name w:val="s2c72c866"/>
    <w:basedOn w:val="Normal"/>
    <w:uiPriority w:val="99"/>
    <w:rsid w:val="00F747F1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paragraph" w:customStyle="1" w:styleId="sfe8dd28f">
    <w:name w:val="sfe8dd28f"/>
    <w:basedOn w:val="Normal"/>
    <w:uiPriority w:val="99"/>
    <w:rsid w:val="00F747F1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paragraph" w:customStyle="1" w:styleId="s21d618bf">
    <w:name w:val="s21d618bf"/>
    <w:basedOn w:val="Normal"/>
    <w:uiPriority w:val="99"/>
    <w:rsid w:val="00F747F1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paragraph" w:customStyle="1" w:styleId="s6c21291f">
    <w:name w:val="s6c21291f"/>
    <w:basedOn w:val="Normal"/>
    <w:uiPriority w:val="99"/>
    <w:rsid w:val="00F747F1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paragraph" w:styleId="ListParagraph">
    <w:name w:val="List Paragraph"/>
    <w:basedOn w:val="Normal"/>
    <w:uiPriority w:val="34"/>
    <w:qFormat/>
    <w:rsid w:val="00A6590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5614E3"/>
    <w:rPr>
      <w:b/>
      <w:bCs/>
    </w:rPr>
  </w:style>
  <w:style w:type="paragraph" w:styleId="NormalWeb">
    <w:name w:val="Normal (Web)"/>
    <w:basedOn w:val="Normal"/>
    <w:uiPriority w:val="99"/>
    <w:unhideWhenUsed/>
    <w:rsid w:val="005614E3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styleId="Emphasis">
    <w:name w:val="Emphasis"/>
    <w:basedOn w:val="DefaultParagraphFont"/>
    <w:uiPriority w:val="20"/>
    <w:qFormat/>
    <w:locked/>
    <w:rsid w:val="005614E3"/>
    <w:rPr>
      <w:i/>
      <w:iCs/>
    </w:rPr>
  </w:style>
  <w:style w:type="paragraph" w:styleId="Header">
    <w:name w:val="header"/>
    <w:basedOn w:val="Normal"/>
    <w:link w:val="HeaderChar"/>
    <w:uiPriority w:val="99"/>
    <w:semiHidden/>
    <w:unhideWhenUsed/>
    <w:rsid w:val="00993D0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93D08"/>
    <w:rPr>
      <w:rFonts w:ascii="GHEA Grapalat" w:hAnsi="GHEA Grapalat"/>
      <w:sz w:val="24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022F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022F5"/>
    <w:rPr>
      <w:rFonts w:ascii="GHEA Grapalat" w:hAnsi="GHEA Grapalat"/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C022F5"/>
    <w:rPr>
      <w:vertAlign w:val="superscript"/>
    </w:rPr>
  </w:style>
  <w:style w:type="character" w:customStyle="1" w:styleId="hps">
    <w:name w:val="hps"/>
    <w:basedOn w:val="DefaultParagraphFont"/>
    <w:rsid w:val="007528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0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0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0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0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0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0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34B2D0-05F2-4562-A794-863DA9459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729</Words>
  <Characters>4158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Gevorgyan.A</cp:lastModifiedBy>
  <cp:revision>2</cp:revision>
  <cp:lastPrinted>2015-08-26T12:55:00Z</cp:lastPrinted>
  <dcterms:created xsi:type="dcterms:W3CDTF">2016-02-04T08:15:00Z</dcterms:created>
  <dcterms:modified xsi:type="dcterms:W3CDTF">2016-02-04T08:15:00Z</dcterms:modified>
</cp:coreProperties>
</file>