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35" w:rsidRPr="00835E8B" w:rsidRDefault="00E11545" w:rsidP="00835E8B">
      <w:pPr>
        <w:pStyle w:val="BodyTextIndent2"/>
        <w:spacing w:after="0" w:line="240" w:lineRule="auto"/>
        <w:ind w:left="-9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615935" w:rsidRPr="00835E8B">
        <w:rPr>
          <w:rFonts w:ascii="GHEA Grapalat" w:hAnsi="GHEA Grapalat" w:cs="Sylfaen"/>
          <w:b/>
          <w:sz w:val="24"/>
          <w:szCs w:val="24"/>
          <w:lang w:val="de-DE"/>
        </w:rPr>
        <w:t>ԱՄՓՈՓԱԹԵՐԹ</w:t>
      </w:r>
    </w:p>
    <w:p w:rsidR="00615935" w:rsidRPr="00835E8B" w:rsidRDefault="00615935" w:rsidP="00835E8B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835E8B">
        <w:rPr>
          <w:rFonts w:ascii="GHEA Grapalat" w:hAnsi="GHEA Grapalat"/>
          <w:b/>
          <w:sz w:val="24"/>
          <w:szCs w:val="24"/>
          <w:lang w:val="af-ZA" w:eastAsia="ru-RU"/>
        </w:rPr>
        <w:t>«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ՇՈՒՐՋՕՐՅԱ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ԽՆԱՄՔԻ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ՏՆԵՐՈՒՄ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ՀՈԳԵԿԱՆ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ԱՌՈՂՋՈՒԹՅԱՆ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ԽՆԴԻՐՆԵՐ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ՈՒՆԵՑՈՂ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ԱՆՁԱՆՑ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ԽՆԱՄՔԻ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ՍՈՑԻԱԼԱԿԱՆ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286E41">
        <w:rPr>
          <w:rFonts w:ascii="GHEA Grapalat" w:hAnsi="GHEA Grapalat"/>
          <w:b/>
          <w:bCs/>
          <w:sz w:val="24"/>
          <w:szCs w:val="24"/>
          <w:lang w:val="hy-AM"/>
        </w:rPr>
        <w:t xml:space="preserve">ՍՊԱՍԱՐԿՄԱՆ </w:t>
      </w:r>
      <w:r w:rsidR="00640B7F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2B27F3">
        <w:rPr>
          <w:rFonts w:ascii="GHEA Grapalat" w:hAnsi="GHEA Grapalat"/>
          <w:b/>
          <w:bCs/>
          <w:sz w:val="24"/>
          <w:szCs w:val="24"/>
          <w:lang w:val="hy-AM"/>
        </w:rPr>
        <w:t>ՅԼ</w:t>
      </w:r>
      <w:r w:rsidR="00286E41">
        <w:rPr>
          <w:rFonts w:ascii="GHEA Grapalat" w:hAnsi="GHEA Grapalat"/>
          <w:b/>
          <w:bCs/>
          <w:sz w:val="24"/>
          <w:szCs w:val="24"/>
          <w:lang w:val="hy-AM"/>
        </w:rPr>
        <w:t>ԸՆՏՐԱՆՔԱՅԻՆ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ԾԱՌԱՅՈՒԹՅՈՒՆՆԵՐԻ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ՏՐԱՄԱԴՐՄԱՆ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ԿԱՐԳԸ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835E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35E8B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»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ՀԱՅԱՍՏԱՆԻ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</w:t>
      </w:r>
      <w:r w:rsidR="005569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</w:t>
      </w:r>
      <w:bookmarkStart w:id="0" w:name="_GoBack"/>
      <w:bookmarkEnd w:id="0"/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ՎԵՐԱԲԵՐՅԱԼ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ՇԱՀԱԳՐԳԻՌ ՆԱԽԱՐԱՐՈՒԹՅՈՒՆՆԵՐԻՑ ՍՏԱՑՎԱԾ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ԴԻՏՈՂՈՒԹՅՈՒՆՆԵՐԻ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835E8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ԱՌԱՋԱՐԿՈՒԹՅՈՒՆՆԵՐԻ</w:t>
      </w:r>
    </w:p>
    <w:p w:rsidR="00411D12" w:rsidRPr="00835E8B" w:rsidRDefault="00411D12" w:rsidP="00835E8B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14702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90"/>
        <w:gridCol w:w="4950"/>
        <w:gridCol w:w="3960"/>
        <w:gridCol w:w="3002"/>
      </w:tblGrid>
      <w:tr w:rsidR="00615935" w:rsidRPr="00835E8B" w:rsidTr="0041198E">
        <w:tc>
          <w:tcPr>
            <w:tcW w:w="279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b/>
                <w:sz w:val="22"/>
                <w:szCs w:val="22"/>
                <w:lang w:val="hy-AM"/>
              </w:rPr>
            </w:pPr>
            <w:r w:rsidRPr="00835E8B">
              <w:rPr>
                <w:b/>
                <w:sz w:val="22"/>
                <w:szCs w:val="22"/>
                <w:lang w:val="hy-AM"/>
              </w:rPr>
              <w:t>Առաջարկության հեղինակը, գրության</w:t>
            </w:r>
            <w:r w:rsidRPr="00835E8B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835E8B">
              <w:rPr>
                <w:b/>
                <w:sz w:val="22"/>
                <w:szCs w:val="22"/>
                <w:lang w:val="hy-AM"/>
              </w:rPr>
              <w:t>օրը</w:t>
            </w:r>
            <w:r w:rsidRPr="00835E8B">
              <w:rPr>
                <w:b/>
                <w:sz w:val="22"/>
                <w:szCs w:val="22"/>
                <w:lang w:val="de-DE"/>
              </w:rPr>
              <w:t xml:space="preserve">, </w:t>
            </w:r>
            <w:r w:rsidRPr="00835E8B">
              <w:rPr>
                <w:b/>
                <w:sz w:val="22"/>
                <w:szCs w:val="22"/>
                <w:lang w:val="hy-AM"/>
              </w:rPr>
              <w:t>ամիսը</w:t>
            </w:r>
            <w:r w:rsidRPr="00835E8B">
              <w:rPr>
                <w:b/>
                <w:sz w:val="22"/>
                <w:szCs w:val="22"/>
                <w:lang w:val="de-DE"/>
              </w:rPr>
              <w:t xml:space="preserve">, </w:t>
            </w:r>
            <w:r w:rsidRPr="00835E8B">
              <w:rPr>
                <w:b/>
                <w:sz w:val="22"/>
                <w:szCs w:val="22"/>
                <w:lang w:val="hy-AM"/>
              </w:rPr>
              <w:t>տարին</w:t>
            </w:r>
            <w:r w:rsidRPr="00835E8B">
              <w:rPr>
                <w:b/>
                <w:sz w:val="22"/>
                <w:szCs w:val="22"/>
                <w:lang w:val="de-DE"/>
              </w:rPr>
              <w:t>,</w:t>
            </w:r>
            <w:r w:rsidRPr="00835E8B">
              <w:rPr>
                <w:b/>
                <w:sz w:val="22"/>
                <w:szCs w:val="22"/>
                <w:lang w:val="hy-AM"/>
              </w:rPr>
              <w:t xml:space="preserve"> գրության համարը</w:t>
            </w:r>
          </w:p>
        </w:tc>
        <w:tc>
          <w:tcPr>
            <w:tcW w:w="495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835E8B">
              <w:rPr>
                <w:b/>
                <w:sz w:val="22"/>
                <w:szCs w:val="22"/>
                <w:lang w:val="hy-AM"/>
              </w:rPr>
              <w:t>Առաջարկության</w:t>
            </w:r>
            <w:r w:rsidRPr="00835E8B">
              <w:rPr>
                <w:b/>
                <w:sz w:val="22"/>
                <w:szCs w:val="22"/>
              </w:rPr>
              <w:t xml:space="preserve"> </w:t>
            </w:r>
            <w:r w:rsidRPr="00835E8B">
              <w:rPr>
                <w:b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96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835E8B">
              <w:rPr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002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835E8B">
              <w:rPr>
                <w:b/>
                <w:sz w:val="22"/>
                <w:szCs w:val="22"/>
                <w:lang w:val="hy-AM"/>
              </w:rPr>
              <w:t>Կատարված փոփոխություն</w:t>
            </w:r>
            <w:r w:rsidRPr="00835E8B">
              <w:rPr>
                <w:b/>
                <w:sz w:val="22"/>
                <w:szCs w:val="22"/>
                <w:lang w:val="ru-RU"/>
              </w:rPr>
              <w:t>ները</w:t>
            </w:r>
          </w:p>
        </w:tc>
      </w:tr>
      <w:tr w:rsidR="00615935" w:rsidRPr="00835E8B" w:rsidTr="0041198E">
        <w:trPr>
          <w:trHeight w:val="70"/>
        </w:trPr>
        <w:tc>
          <w:tcPr>
            <w:tcW w:w="2790" w:type="dxa"/>
          </w:tcPr>
          <w:p w:rsidR="00615935" w:rsidRPr="00835E8B" w:rsidRDefault="00615935" w:rsidP="00835E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5E8B">
              <w:rPr>
                <w:sz w:val="22"/>
                <w:szCs w:val="22"/>
              </w:rPr>
              <w:t>1</w:t>
            </w:r>
          </w:p>
        </w:tc>
        <w:tc>
          <w:tcPr>
            <w:tcW w:w="4950" w:type="dxa"/>
          </w:tcPr>
          <w:p w:rsidR="00615935" w:rsidRPr="00835E8B" w:rsidRDefault="00615935" w:rsidP="00835E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5E8B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</w:tcPr>
          <w:p w:rsidR="00615935" w:rsidRPr="00835E8B" w:rsidRDefault="00615935" w:rsidP="00835E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5E8B">
              <w:rPr>
                <w:sz w:val="22"/>
                <w:szCs w:val="22"/>
              </w:rPr>
              <w:t>3</w:t>
            </w:r>
          </w:p>
        </w:tc>
        <w:tc>
          <w:tcPr>
            <w:tcW w:w="3002" w:type="dxa"/>
          </w:tcPr>
          <w:p w:rsidR="00615935" w:rsidRPr="00835E8B" w:rsidRDefault="00615935" w:rsidP="00835E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5E8B">
              <w:rPr>
                <w:sz w:val="22"/>
                <w:szCs w:val="22"/>
              </w:rPr>
              <w:t>4</w:t>
            </w:r>
          </w:p>
        </w:tc>
      </w:tr>
      <w:tr w:rsidR="00615935" w:rsidRPr="00835E8B" w:rsidTr="0041198E">
        <w:tc>
          <w:tcPr>
            <w:tcW w:w="279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</w:rPr>
              <w:t>ՀՀ տարածքային կառավարման</w:t>
            </w:r>
            <w:r w:rsidRPr="00835E8B">
              <w:rPr>
                <w:sz w:val="22"/>
                <w:szCs w:val="22"/>
                <w:lang w:val="fr-FR"/>
              </w:rPr>
              <w:t xml:space="preserve"> և արտակարգ իրավիճակների </w:t>
            </w:r>
            <w:r w:rsidRPr="00835E8B">
              <w:rPr>
                <w:sz w:val="22"/>
                <w:szCs w:val="22"/>
              </w:rPr>
              <w:t>նախարարություն</w:t>
            </w:r>
            <w:r w:rsidRPr="00835E8B">
              <w:rPr>
                <w:sz w:val="22"/>
                <w:szCs w:val="22"/>
                <w:lang w:val="hy-AM"/>
              </w:rPr>
              <w:t>,</w:t>
            </w:r>
          </w:p>
          <w:p w:rsidR="00615935" w:rsidRPr="00835E8B" w:rsidRDefault="006159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25.09.2015թ. 1/06.3/13868-15</w:t>
            </w:r>
          </w:p>
        </w:tc>
        <w:tc>
          <w:tcPr>
            <w:tcW w:w="4950" w:type="dxa"/>
          </w:tcPr>
          <w:p w:rsidR="00615935" w:rsidRPr="00835E8B" w:rsidRDefault="00615935" w:rsidP="00835E8B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396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3002" w:type="dxa"/>
          </w:tcPr>
          <w:p w:rsidR="00615935" w:rsidRPr="00835E8B" w:rsidRDefault="00615935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E1135" w:rsidRPr="005569BF" w:rsidTr="0041198E">
        <w:tc>
          <w:tcPr>
            <w:tcW w:w="279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առողջապահութ</w:t>
            </w:r>
          </w:p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յան  նախարարություն,</w:t>
            </w:r>
          </w:p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02.10.2015թ. ԱՄ/11.1/11417-15</w:t>
            </w:r>
          </w:p>
        </w:tc>
        <w:tc>
          <w:tcPr>
            <w:tcW w:w="495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1.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Նախագծում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տեքստում</w:t>
            </w:r>
            <w:r w:rsidRPr="00835E8B">
              <w:rPr>
                <w:sz w:val="22"/>
                <w:szCs w:val="22"/>
                <w:lang w:val="hy-AM"/>
              </w:rPr>
              <w:t xml:space="preserve"> «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հոգեկան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առողջության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խնդիրներ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ունեցող</w:t>
            </w:r>
            <w:r w:rsidRPr="00835E8B">
              <w:rPr>
                <w:sz w:val="22"/>
                <w:szCs w:val="22"/>
                <w:lang w:val="hy-AM"/>
              </w:rPr>
              <w:t xml:space="preserve">»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բառերը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փոխարինել</w:t>
            </w:r>
            <w:r w:rsidRPr="00835E8B">
              <w:rPr>
                <w:sz w:val="22"/>
                <w:szCs w:val="22"/>
                <w:lang w:val="hy-AM"/>
              </w:rPr>
              <w:t xml:space="preserve"> «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հոգեկան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խանգարումով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տառապող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անձանց</w:t>
            </w:r>
            <w:r w:rsidRPr="00835E8B">
              <w:rPr>
                <w:sz w:val="22"/>
                <w:szCs w:val="22"/>
                <w:lang w:val="hy-AM"/>
              </w:rPr>
              <w:t xml:space="preserve">»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բառերով</w:t>
            </w:r>
            <w:r w:rsidRPr="00835E8B">
              <w:rPr>
                <w:sz w:val="22"/>
                <w:szCs w:val="22"/>
                <w:lang w:val="hy-AM"/>
              </w:rPr>
              <w:t xml:space="preserve">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հիմք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ընդունելով</w:t>
            </w:r>
            <w:r w:rsidRPr="00835E8B">
              <w:rPr>
                <w:sz w:val="22"/>
                <w:szCs w:val="22"/>
                <w:lang w:val="hy-AM"/>
              </w:rPr>
              <w:t xml:space="preserve">  «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Հոգեբուժական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օգնության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մասին</w:t>
            </w:r>
            <w:r w:rsidRPr="00835E8B">
              <w:rPr>
                <w:sz w:val="22"/>
                <w:szCs w:val="22"/>
                <w:lang w:val="hy-AM"/>
              </w:rPr>
              <w:t xml:space="preserve">»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օրենքի</w:t>
            </w:r>
            <w:r w:rsidRPr="00835E8B">
              <w:rPr>
                <w:sz w:val="22"/>
                <w:szCs w:val="22"/>
                <w:lang w:val="hy-AM"/>
              </w:rPr>
              <w:t xml:space="preserve"> 3-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հոդվածի</w:t>
            </w:r>
            <w:r w:rsidRPr="00835E8B">
              <w:rPr>
                <w:sz w:val="22"/>
                <w:szCs w:val="22"/>
                <w:lang w:val="hy-AM"/>
              </w:rPr>
              <w:t xml:space="preserve"> 1-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ին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մասի</w:t>
            </w:r>
            <w:r w:rsidRPr="00835E8B">
              <w:rPr>
                <w:sz w:val="22"/>
                <w:szCs w:val="22"/>
                <w:lang w:val="hy-AM"/>
              </w:rPr>
              <w:t xml:space="preserve"> 4-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</w:t>
            </w:r>
            <w:r w:rsidRPr="00835E8B">
              <w:rPr>
                <w:sz w:val="22"/>
                <w:szCs w:val="22"/>
                <w:lang w:val="hy-AM"/>
              </w:rPr>
              <w:t>ը և ՀՀ էկոնոմիկայի նախարարի 2013թ. սեպտեմբերի 19-ի թիվ 871-Ն հրամանով  նախատեսված հիվանդությունների և առողջության հետ կապված խնդիրների վիճակագրական դասակարգիչը:</w:t>
            </w:r>
          </w:p>
          <w:p w:rsidR="009E1135" w:rsidRPr="00835E8B" w:rsidRDefault="009E1135" w:rsidP="00835E8B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3960" w:type="dxa"/>
          </w:tcPr>
          <w:p w:rsidR="00835E8B" w:rsidRPr="00835E8B" w:rsidRDefault="009E1135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Ընդունվել է ի գիտություն, սակայն </w:t>
            </w:r>
            <w:r w:rsidR="00AE0E4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Նախագծում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փոփոխություններ չեն կատարվել, քանի որ «հոգեկան առողջության խնդիրներ ունեցող անձ» եզրույթը սույն նախագծում օգտագործվել է ավելի լայն իմաստով, քան «հոգեկան խանգարումով տառապող անձն է»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և դիտարկվում է </w:t>
            </w:r>
            <w:r w:rsidR="00C90DD6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առավելապես 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սոցիալական տեսանկյունից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: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Նույն</w:t>
            </w:r>
            <w:r w:rsidR="00AE0E4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`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«Հոգեկան առողջության խնդիրներ ունեցող անձ» հասկացության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սահմանումը տրված է ՀՀ կառավարության  2013թ. մայիսի 2-ի N17 արձանագրային որոշմամբ հավանության արժանացած «Հոգեկան առողջության խնդիրներ ունեցող անձանց խնամքի և սոցիալական սպասարկման այլընտրանքային ծառայությունների տրամադրման Հայեցակարգի» հավելվածի 5-րդ կետում, այն է` «Հոգեկան առողջության խնդիրներ ունեցող անձ</w:t>
            </w:r>
            <w:r w:rsidR="00411D12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հոգեկան առողջության խաթարման կապակցությամբ հոգեբանահոգեբուժական և վերականգնողական օգնություն ստացող կամ այդ օգնության կարիքն ունեցող անձ:»: Նույն հասկացությունն ամրագրված է ՀՀ առողջապահության նախարարության կողմից մշակված և ՀՀ կառավարության 2014թ. ապրիլի 17-ի N 15 արձանագրային որոշմամբ հավանության արժանացած «Հայաստանի Հանրապետությունում հոգեկան առողջության պահպանման և բարելավման  2014-2019 թվականների ռազմավարության և դրա իրականացումն ապահովող միջոցառումների ցանկում»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(տես` 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որոշման հավելված 1-ի 11-14 և </w:t>
            </w:r>
            <w:r w:rsidR="00C90DD6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26-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32-րդ կետերը</w:t>
            </w:r>
            <w:r w:rsidR="00C90DD6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 հավելված 2-ի 6-րդ նպատակի 9-րդ և 7-րդ նպատակի 1-ին միջոցառումները</w:t>
            </w:r>
            <w:r w:rsidR="00AE0E4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 համաձայն որոնց նախատեսված է «ստեղծել հոգեկան առողջության խնդիրներ ունեցող անձանց շուրջօրյա խնամքի տուն». այս նախագիծը նպատակ ունի կանոնակարգել ստեղծվելիք խնամքի տանը կամ տներում հոգեկան առողջության խնդիրներ ունեցող անձանց  խնամքի ծառայությունների տրամադրումը</w:t>
            </w:r>
            <w:r w:rsidR="00520DB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)</w:t>
            </w:r>
            <w:r w:rsidR="00C90DD6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ինչպես նաև </w:t>
            </w:r>
            <w:r w:rsidR="00AE0E48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նշված </w:t>
            </w:r>
            <w:r w:rsidR="00C90DD6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Ռազմավարության  մեջ հղում է արված ՄԱ</w:t>
            </w:r>
            <w:r w:rsidR="00C90DD6" w:rsidRPr="00835E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Կ-ի կողմից ընդունված </w:t>
            </w:r>
            <w:r w:rsidR="00C90DD6" w:rsidRPr="00835E8B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«Հոգեկան առողջության խնդիրներ ունեցող անձանց</w:t>
            </w:r>
            <w:r w:rsidR="00C90DD6" w:rsidRPr="00835E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պաշտպանության և հոգեբուժական օգնության բարելավման սկզբունքներին»: </w:t>
            </w:r>
          </w:p>
        </w:tc>
        <w:tc>
          <w:tcPr>
            <w:tcW w:w="3002" w:type="dxa"/>
          </w:tcPr>
          <w:p w:rsidR="009E1135" w:rsidRPr="00835E8B" w:rsidRDefault="009E1135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E1135" w:rsidRPr="005569BF" w:rsidTr="0041198E">
        <w:tc>
          <w:tcPr>
            <w:tcW w:w="279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520DB8" w:rsidRPr="00835E8B" w:rsidRDefault="00520DB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2.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Հստակեցնել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Նախագծի</w:t>
            </w:r>
            <w:r w:rsidRPr="00835E8B">
              <w:rPr>
                <w:sz w:val="22"/>
                <w:szCs w:val="22"/>
                <w:lang w:val="hy-AM"/>
              </w:rPr>
              <w:t xml:space="preserve"> 2-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կետում</w:t>
            </w:r>
            <w:r w:rsidRPr="00835E8B">
              <w:rPr>
                <w:sz w:val="22"/>
                <w:szCs w:val="22"/>
                <w:lang w:val="hy-AM"/>
              </w:rPr>
              <w:t xml:space="preserve">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Հավելվածի</w:t>
            </w:r>
            <w:r w:rsidRPr="00835E8B">
              <w:rPr>
                <w:sz w:val="22"/>
                <w:szCs w:val="22"/>
                <w:lang w:val="hy-AM"/>
              </w:rPr>
              <w:t xml:space="preserve"> 13-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կետում</w:t>
            </w:r>
            <w:r w:rsidRPr="00835E8B">
              <w:rPr>
                <w:sz w:val="22"/>
                <w:szCs w:val="22"/>
                <w:lang w:val="hy-AM"/>
              </w:rPr>
              <w:t>, 14-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կետի</w:t>
            </w:r>
            <w:r w:rsidRPr="00835E8B">
              <w:rPr>
                <w:sz w:val="22"/>
                <w:szCs w:val="22"/>
                <w:lang w:val="hy-AM"/>
              </w:rPr>
              <w:t xml:space="preserve"> 7-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ենթակետում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35E8B">
              <w:rPr>
                <w:sz w:val="22"/>
                <w:szCs w:val="22"/>
                <w:lang w:val="hy-AM"/>
              </w:rPr>
              <w:t xml:space="preserve"> 19-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կետում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նշված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մասնագիտացված</w:t>
            </w:r>
            <w:r w:rsidRPr="00835E8B">
              <w:rPr>
                <w:sz w:val="22"/>
                <w:szCs w:val="22"/>
                <w:lang w:val="hy-AM"/>
              </w:rPr>
              <w:t xml:space="preserve"> 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հանձնաժողովի</w:t>
            </w:r>
            <w:r w:rsidRPr="00835E8B">
              <w:rPr>
                <w:sz w:val="22"/>
                <w:szCs w:val="22"/>
                <w:lang w:val="hy-AM"/>
              </w:rPr>
              <w:t xml:space="preserve"> կողմից իրականացվող գործունեությունը, մասնավորապես կապված բժշկական օգնություն և սպասարկում իրականացնելու գործունեության լիցենզավորման առկայության հետ:</w:t>
            </w:r>
          </w:p>
          <w:p w:rsidR="009E1135" w:rsidRPr="00835E8B" w:rsidRDefault="009E1135" w:rsidP="00835E8B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3960" w:type="dxa"/>
          </w:tcPr>
          <w:p w:rsidR="000A6F44" w:rsidRDefault="00E03DEC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Մասնակի ընդունվել է</w:t>
            </w:r>
            <w:r w:rsidR="00274406"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: </w:t>
            </w:r>
          </w:p>
          <w:p w:rsidR="00411D12" w:rsidRDefault="00274406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sz w:val="22"/>
                <w:szCs w:val="22"/>
                <w:lang w:val="hy-AM"/>
              </w:rPr>
              <w:t>«Բժշկական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օգնություն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սպասարկում</w:t>
            </w:r>
            <w:r w:rsidRPr="00835E8B">
              <w:rPr>
                <w:sz w:val="22"/>
                <w:szCs w:val="22"/>
                <w:lang w:val="hy-AM"/>
              </w:rPr>
              <w:t>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գործունեության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տեսակի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լիցենզավորումը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sz w:val="22"/>
                <w:szCs w:val="22"/>
                <w:lang w:val="hy-AM"/>
              </w:rPr>
              <w:t>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Լիցենզավորման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մասին</w:t>
            </w:r>
            <w:r w:rsidRPr="00835E8B">
              <w:rPr>
                <w:sz w:val="22"/>
                <w:szCs w:val="22"/>
                <w:lang w:val="hy-AM"/>
              </w:rPr>
              <w:t xml:space="preserve">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օրենքով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սահմանված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պարտադիր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նորմ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է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նման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գործունություն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ծավալելու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="009A5A34"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բոլոր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դեպքերի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համար</w:t>
            </w:r>
            <w:r w:rsidRPr="00835E8B">
              <w:rPr>
                <w:sz w:val="22"/>
                <w:szCs w:val="22"/>
                <w:lang w:val="af-ZA"/>
              </w:rPr>
              <w:t xml:space="preserve">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ուստի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կրկնաբանությունից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խուսափելու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նպատակով</w:t>
            </w:r>
            <w:r w:rsidRPr="00835E8B">
              <w:rPr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Նախագծում այդ մասին չի նշվել:</w:t>
            </w:r>
          </w:p>
          <w:p w:rsidR="00835E8B" w:rsidRPr="005E3430" w:rsidRDefault="009577CC" w:rsidP="005E3430">
            <w:pPr>
              <w:tabs>
                <w:tab w:val="left" w:pos="180"/>
                <w:tab w:val="left" w:pos="360"/>
                <w:tab w:val="left" w:pos="990"/>
              </w:tabs>
              <w:spacing w:after="0" w:line="240" w:lineRule="auto"/>
              <w:contextualSpacing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 xml:space="preserve">    </w:t>
            </w:r>
            <w:r w:rsidRPr="009577CC">
              <w:rPr>
                <w:sz w:val="22"/>
                <w:szCs w:val="22"/>
                <w:lang w:val="hy-AM"/>
              </w:rPr>
              <w:t xml:space="preserve">Միաժամանակ Նախագծի 2-րդ կետով հանձնարարվել է ՀՀ աշխատանքի և սոցիալական հարցերի </w:t>
            </w:r>
            <w:r>
              <w:rPr>
                <w:sz w:val="22"/>
                <w:szCs w:val="22"/>
                <w:lang w:val="hy-AM"/>
              </w:rPr>
              <w:t>նա</w:t>
            </w:r>
            <w:r w:rsidRPr="009577CC">
              <w:rPr>
                <w:sz w:val="22"/>
                <w:szCs w:val="22"/>
                <w:lang w:val="hy-AM"/>
              </w:rPr>
              <w:t>խարարին</w:t>
            </w:r>
            <w:r>
              <w:rPr>
                <w:sz w:val="22"/>
                <w:szCs w:val="22"/>
                <w:lang w:val="hy-AM"/>
              </w:rPr>
              <w:t xml:space="preserve">` </w:t>
            </w:r>
            <w:r w:rsidRPr="009577CC">
              <w:rPr>
                <w:sz w:val="22"/>
                <w:szCs w:val="22"/>
                <w:lang w:val="hy-AM"/>
              </w:rPr>
              <w:t>սույն որո</w:t>
            </w:r>
            <w:r w:rsidRPr="009577CC">
              <w:rPr>
                <w:rFonts w:cs="Sylfaen"/>
                <w:bCs/>
                <w:sz w:val="22"/>
                <w:szCs w:val="22"/>
                <w:lang w:val="hy-AM"/>
              </w:rPr>
              <w:t xml:space="preserve">շումն ուժի մեջ մտնելուց հետո երկամսյա ժամկետում, հաստատել </w:t>
            </w:r>
            <w:r w:rsidRPr="009577CC">
              <w:rPr>
                <w:rFonts w:cs="Sylfaen"/>
                <w:sz w:val="22"/>
                <w:szCs w:val="22"/>
                <w:lang w:val="hy-AM"/>
              </w:rPr>
              <w:t>հոգեկան առողջության խնդիրներ ունեցող անձանց</w:t>
            </w:r>
            <w:r w:rsidRPr="009577CC">
              <w:rPr>
                <w:rFonts w:cs="Sylfaen"/>
                <w:bCs/>
                <w:sz w:val="22"/>
                <w:szCs w:val="22"/>
                <w:lang w:val="hy-AM"/>
              </w:rPr>
              <w:t xml:space="preserve"> կլինիկական վիճակի, սոցիալական հմտությունների և կարողությունների գնահատումն իրականացնելու կարգը (այդ թվում՝ գնահատման մեթոդաբանությունը և չափորոշիչները), մասնագիտացված հանձնաժողովների ձևավորման կարգը, աշխատակարգը, անհատական կազմը և նրանց կողմից տրամադրվող եզրակացության ձևը:</w:t>
            </w:r>
            <w:r>
              <w:rPr>
                <w:rFonts w:cs="Sylfaen"/>
                <w:bCs/>
                <w:sz w:val="22"/>
                <w:szCs w:val="22"/>
                <w:lang w:val="hy-AM"/>
              </w:rPr>
              <w:t xml:space="preserve"> Այդ է պատճառը, որ Նախագծում այդ հանձնաժողովների գործունեության մասին չի մանրամասնվում:</w:t>
            </w:r>
          </w:p>
        </w:tc>
        <w:tc>
          <w:tcPr>
            <w:tcW w:w="3002" w:type="dxa"/>
          </w:tcPr>
          <w:p w:rsidR="009E1135" w:rsidRPr="00835E8B" w:rsidRDefault="00E03DEC" w:rsidP="009577CC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համապատասխան կետերը</w:t>
            </w:r>
            <w:r w:rsidR="00274406" w:rsidRPr="00835E8B">
              <w:rPr>
                <w:rFonts w:ascii="GHEA Grapalat" w:hAnsi="GHEA Grapalat"/>
                <w:sz w:val="22"/>
                <w:szCs w:val="22"/>
                <w:lang w:val="hy-AM"/>
              </w:rPr>
              <w:t>, որոնք կապված են մասնագիտացված հանձնաժողովի</w:t>
            </w:r>
            <w:r w:rsidR="009577CC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274406" w:rsidRPr="00835E8B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577C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մասամբ 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խմբագրվել են</w:t>
            </w:r>
            <w:r w:rsidR="004D689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E1135" w:rsidRPr="005569BF" w:rsidTr="0041198E">
        <w:tc>
          <w:tcPr>
            <w:tcW w:w="279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520DB8" w:rsidRPr="00835E8B" w:rsidRDefault="00520DB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3.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Նախագծի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Հավելվածի</w:t>
            </w:r>
            <w:r w:rsidRPr="00835E8B">
              <w:rPr>
                <w:sz w:val="22"/>
                <w:szCs w:val="22"/>
                <w:lang w:val="hy-AM"/>
              </w:rPr>
              <w:t xml:space="preserve"> 3-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կետի</w:t>
            </w:r>
            <w:r w:rsidRPr="00835E8B">
              <w:rPr>
                <w:sz w:val="22"/>
                <w:szCs w:val="22"/>
                <w:lang w:val="hy-AM"/>
              </w:rPr>
              <w:t xml:space="preserve"> 1-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ին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ենթակետում</w:t>
            </w:r>
            <w:r w:rsidRPr="00835E8B">
              <w:rPr>
                <w:sz w:val="22"/>
                <w:szCs w:val="22"/>
                <w:lang w:val="hy-AM"/>
              </w:rPr>
              <w:t xml:space="preserve"> «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հոգեկան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առողջության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խնդիրներ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ուեցող</w:t>
            </w:r>
            <w:r w:rsidRPr="00835E8B">
              <w:rPr>
                <w:sz w:val="22"/>
                <w:szCs w:val="22"/>
                <w:lang w:val="hy-AM"/>
              </w:rPr>
              <w:t xml:space="preserve"> (այսուհետ` ՀԱԽՈՒ) անձ` հոգեկան առողջության խաթարման կապակցությամբ հոգեբանահոգեբուժական և վերականգնողական օգնություն ստացող կամ այդ օգնության կարիքն ունեցող անձ» արտահայտությունը փոխարինել «հոգեկան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խանգարման կապակցությամբ հոգեբուժական, հոգեթերապևտիկ և վերականգնողական բժշկական օգնություն և սպասարկում ստացող կամ այդ օգնության կարիքն ունեցող անձ արտահայտությամբ, այն համապատասխանեցնելով «Հոգեբուժական օգնության մասին» ՀՀ օրենքին և ՀՀ կառավարության 2008թ. մարտի 27-ի թիվ 276-Ն որոշման պահանջներին:</w:t>
            </w:r>
          </w:p>
          <w:p w:rsidR="009E1135" w:rsidRPr="00835E8B" w:rsidRDefault="009E1135" w:rsidP="00835E8B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3960" w:type="dxa"/>
          </w:tcPr>
          <w:p w:rsidR="00835E8B" w:rsidRPr="00835E8B" w:rsidRDefault="006A092B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 մասնակի` «հոգեբանահոգեբուժական» հասկացությունը սահմանվել է` «հոգեբուժական և հոգեբանական» իսկ առաջարկության մյուս մասը չ</w:t>
            </w:r>
            <w:r w:rsidR="00274406" w:rsidRPr="00835E8B">
              <w:rPr>
                <w:rFonts w:cs="Sylfaen"/>
                <w:bCs/>
                <w:sz w:val="22"/>
                <w:szCs w:val="22"/>
                <w:lang w:val="hy-AM"/>
              </w:rPr>
              <w:t>ի ընդունվել սույն ամփոփաթերթի 1-ին կետ</w:t>
            </w:r>
            <w:r w:rsidR="009A5A34"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ում տրված պատճառաբանությամբ: </w:t>
            </w:r>
            <w:r w:rsidR="009E3C99">
              <w:rPr>
                <w:rFonts w:cs="Sylfaen"/>
                <w:bCs/>
                <w:sz w:val="22"/>
                <w:szCs w:val="22"/>
                <w:lang w:val="hy-AM"/>
              </w:rPr>
              <w:t xml:space="preserve">Նախագծի </w:t>
            </w:r>
            <w:r w:rsidR="009E3C99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ս</w:t>
            </w:r>
            <w:r w:rsidR="009A5A34" w:rsidRPr="00835E8B">
              <w:rPr>
                <w:rFonts w:cs="Sylfaen"/>
                <w:bCs/>
                <w:sz w:val="22"/>
                <w:szCs w:val="22"/>
                <w:lang w:val="hy-AM"/>
              </w:rPr>
              <w:t>ահմանումը վերցվել է ՀՀ կառավարության  2013թ. մայիսի 2-ի N17 արձանագրային որոշմամբ հավանության արժանացած «Հոգեկան առողջության խնդիրներ ունեցող անձանց խնամքի և սոցիալական սպասարկման այլընտրանքային ծառայությունների տրամադրման Հայեցակարգից»: Այստեղ շեշտը դրվում է ոչ թե վերականգնողական բժշկական օգնության ու սպասարկման, այլ վերականգնողական օգնության` լայն իմաստով, որն իր մեջ ներառում է և բժշկական, և սոցիալական, և հոգեբանական և մասնագիտական օգնության տրամադրումը:</w:t>
            </w:r>
          </w:p>
        </w:tc>
        <w:tc>
          <w:tcPr>
            <w:tcW w:w="3002" w:type="dxa"/>
          </w:tcPr>
          <w:p w:rsidR="009E1135" w:rsidRPr="00835E8B" w:rsidRDefault="006A092B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համապատասխան կետը մասնակի խմբագրվել է:</w:t>
            </w:r>
          </w:p>
        </w:tc>
      </w:tr>
      <w:tr w:rsidR="009E1135" w:rsidRPr="005569BF" w:rsidTr="0041198E">
        <w:tc>
          <w:tcPr>
            <w:tcW w:w="279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520DB8" w:rsidRPr="00835E8B" w:rsidRDefault="00520DB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4.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Նախագծի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Հավելվածի</w:t>
            </w:r>
            <w:r w:rsidRPr="00835E8B">
              <w:rPr>
                <w:sz w:val="22"/>
                <w:szCs w:val="22"/>
                <w:lang w:val="hy-AM"/>
              </w:rPr>
              <w:t xml:space="preserve"> 3-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կետի</w:t>
            </w:r>
            <w:r w:rsidRPr="00835E8B">
              <w:rPr>
                <w:sz w:val="22"/>
                <w:szCs w:val="22"/>
                <w:lang w:val="hy-AM"/>
              </w:rPr>
              <w:t xml:space="preserve"> 4-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ենթա</w:t>
            </w:r>
            <w:r w:rsidRPr="00835E8B">
              <w:rPr>
                <w:sz w:val="22"/>
                <w:szCs w:val="22"/>
                <w:lang w:val="hy-AM"/>
              </w:rPr>
              <w:t>կետում «հոգեբուժական խոշոր հաստատությունների» բառերը, իսկ 13-րդ կետի 1-ին ենթակետում` «հոգեբուժարանում» բառը փոխարինել «հոգեբուժական կազմակերպություններ» բառերով` հիմք ընդունելով «Հոգեբուժական օգնության մասին» ՀՀ օրենքի 3-րդ հոդվածի 1-ին մասի 9-րդ կետը:</w:t>
            </w:r>
          </w:p>
          <w:p w:rsidR="00835E8B" w:rsidRPr="00835E8B" w:rsidRDefault="00520DB8" w:rsidP="00835E8B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Միաժամանակ առաջարկում եմ Նախագծի Հավելվածից հանել վերը նշված կետը, հաշվի առնելով այն հանգամանքը, որ շուրջօրյա խնամքի տներում հոգեկան առողջության խնդիրներ ունեցող անձանց խնամքի և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սոցիալական այլ ծառայությունների տրամադրման հիմնական նպատակը այնտեղ գտնվող հոգեկան խանգարումներով տառապող անձանց սոցիալական ներառմանը նպաստելու համար անհրաժեշտ պայմաններ ստեղծելն է, իսկ ապաինստիտուցիոնալացումը  համակարգային հարց է, որի իրականացումը, ի լրումն  հոգեկան խանգարումներով տառապող անձանց սոցիալական ներառմանը, ենթադրում է մի շարք համալիր միջոցառումներ:</w:t>
            </w:r>
          </w:p>
        </w:tc>
        <w:tc>
          <w:tcPr>
            <w:tcW w:w="3960" w:type="dxa"/>
          </w:tcPr>
          <w:p w:rsidR="009E1135" w:rsidRPr="00835E8B" w:rsidRDefault="003075E8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</w:t>
            </w:r>
            <w:r w:rsidR="009A5A34" w:rsidRPr="00835E8B">
              <w:rPr>
                <w:rFonts w:cs="Sylfaen"/>
                <w:bCs/>
                <w:sz w:val="22"/>
                <w:szCs w:val="22"/>
                <w:lang w:val="hy-AM"/>
              </w:rPr>
              <w:t>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  <w:p w:rsidR="003075E8" w:rsidRPr="00835E8B" w:rsidRDefault="003075E8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002" w:type="dxa"/>
          </w:tcPr>
          <w:p w:rsidR="009E1135" w:rsidRPr="00835E8B" w:rsidRDefault="009A5A34" w:rsidP="009E3C99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համապատասխան </w:t>
            </w:r>
            <w:r w:rsidR="003075E8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="009E3C99">
              <w:rPr>
                <w:rFonts w:ascii="GHEA Grapalat" w:hAnsi="GHEA Grapalat"/>
                <w:sz w:val="22"/>
                <w:szCs w:val="22"/>
                <w:lang w:val="hy-AM"/>
              </w:rPr>
              <w:t>երը</w:t>
            </w:r>
            <w:r w:rsidR="003075E8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հանվել </w:t>
            </w:r>
            <w:r w:rsidR="009E3C99">
              <w:rPr>
                <w:rFonts w:ascii="GHEA Grapalat" w:hAnsi="GHEA Grapalat"/>
                <w:sz w:val="22"/>
                <w:szCs w:val="22"/>
                <w:lang w:val="hy-AM"/>
              </w:rPr>
              <w:t>են:</w:t>
            </w:r>
          </w:p>
        </w:tc>
      </w:tr>
      <w:tr w:rsidR="009E1135" w:rsidRPr="005569BF" w:rsidTr="0041198E">
        <w:tc>
          <w:tcPr>
            <w:tcW w:w="2790" w:type="dxa"/>
          </w:tcPr>
          <w:p w:rsidR="009E1135" w:rsidRPr="00835E8B" w:rsidRDefault="009E11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835E8B" w:rsidRPr="00835E8B" w:rsidRDefault="00520DB8" w:rsidP="00835E8B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5.Նախագծի 3-րդ (Շուրջօրյա խնամքի տանը ներկայացվող ընդհանուր պահանջները) գլխում առաջարկվում է ավելացնել նոր կետ. Շուրջօրյա խնամքի տանը պետք է ապահովված լինեն միկրոկլիմայի, լուսավորության, կառուցվածքին, ջրամատակարարմանը և ջրահեռացմանը ներկայացվող Հայաստանի Հանրապետության քաղաքաշինարական նորմերը: Շուրջօրյա խնամքի տանը տրվող խմելու ջրի որակը պետք է համապատասխանի Հայաստանի Հանրապետության սանիտարական օրենսդրության պահանջներին:»:</w:t>
            </w:r>
          </w:p>
        </w:tc>
        <w:tc>
          <w:tcPr>
            <w:tcW w:w="3960" w:type="dxa"/>
          </w:tcPr>
          <w:p w:rsidR="009E1135" w:rsidRPr="00835E8B" w:rsidRDefault="003075E8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9E1135" w:rsidRPr="00835E8B" w:rsidRDefault="003075E8" w:rsidP="00EA1B28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</w:t>
            </w:r>
            <w:r w:rsidR="00203ABE">
              <w:rPr>
                <w:rFonts w:ascii="GHEA Grapalat" w:hAnsi="GHEA Grapalat"/>
                <w:sz w:val="22"/>
                <w:szCs w:val="22"/>
                <w:lang w:val="hy-AM"/>
              </w:rPr>
              <w:t xml:space="preserve">, լրացվել </w:t>
            </w:r>
            <w:r w:rsidR="00EA1B28">
              <w:rPr>
                <w:rFonts w:ascii="GHEA Grapalat" w:hAnsi="GHEA Grapalat"/>
                <w:sz w:val="22"/>
                <w:szCs w:val="22"/>
                <w:lang w:val="hy-AM"/>
              </w:rPr>
              <w:t>առաջարկված նոր նախադասությամբ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520DB8" w:rsidRPr="005569BF" w:rsidTr="0041198E">
        <w:tc>
          <w:tcPr>
            <w:tcW w:w="2790" w:type="dxa"/>
          </w:tcPr>
          <w:p w:rsidR="00520DB8" w:rsidRPr="00835E8B" w:rsidRDefault="00520DB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520DB8" w:rsidRDefault="00520DB8" w:rsidP="00835E8B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6. Նախագծի Հավելվածի 8-րդ կետում «Շուրջօրյա խնամքի տունը բառերից հետո ավելացնել և նրա ամբողջ տարածքը բառերը:</w:t>
            </w:r>
          </w:p>
          <w:p w:rsidR="00835E8B" w:rsidRPr="00835E8B" w:rsidRDefault="00835E8B" w:rsidP="00835E8B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3960" w:type="dxa"/>
          </w:tcPr>
          <w:p w:rsidR="00520DB8" w:rsidRPr="00835E8B" w:rsidRDefault="003075E8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  <w:r w:rsidR="00835E8B">
              <w:rPr>
                <w:rFonts w:cs="Sylfaen"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002" w:type="dxa"/>
          </w:tcPr>
          <w:p w:rsidR="00520DB8" w:rsidRPr="00835E8B" w:rsidRDefault="003075E8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է:</w:t>
            </w:r>
          </w:p>
        </w:tc>
      </w:tr>
      <w:tr w:rsidR="00C37695" w:rsidRPr="005569BF" w:rsidTr="0041198E">
        <w:tc>
          <w:tcPr>
            <w:tcW w:w="2790" w:type="dxa"/>
          </w:tcPr>
          <w:p w:rsidR="00C37695" w:rsidRPr="00835E8B" w:rsidRDefault="00C3769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>7.Նախագծի Հավելվածի 10-րդ կետը խմբագրել հետևյալ բովանդակությամբ. «Շուրջօրյա խնամքի տունը պետք է ունենա՝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1) ընդունարան` կից մեկուսարանով` վարակիչ հիվանդություններով հիվանդների ժամանակավոր մեկուսացման համար,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2) բուժկետ,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>3) լվացքատուն` համապատասխան շենքերով և սարքավորումներով կամ շուրջօրյա խնամքի տանը խնամվող անձանց անձնական և անկողնային սպիտակեղենի լվացման համար կարող է կնքվել ծառայությունների մատուցման պայմանագիր` համապատասխան կազմակերպության հետ,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4) ախտահանման խցիկ,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5) սանհանգույց` յուրաքանչյուր ութ բնակվողին (խնամվողին) առնվազն մեկ հատի հաշվարկով և բաղնիք (լոգասենյակ)՝ յուրաքանչյուր ութ խնամվողին առնվազն մեկ ցնցուղ հաշվարկով,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6) առնվազն մեկ հանգստի սենյակ, որը պետք է ապահովված լինի բազմոցով, բազկաթոռներով, սեղաններով, սեղանի խաղերով, աթոռներով՝ առնվազն ութ խնամվողի միաժամանակյա հանգստի և զբաղմունքի համար և առնվազն մեկական հեռուստացույցով և համակարգչով,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7)աշխատակիցների սանիտարակենցա ղային շենքեր, </w:t>
            </w:r>
          </w:p>
          <w:p w:rsidR="00C37695" w:rsidRPr="00835E8B" w:rsidRDefault="00C37695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>8) ճաշարան:</w:t>
            </w:r>
          </w:p>
          <w:p w:rsidR="00C37695" w:rsidRPr="00835E8B" w:rsidRDefault="00C37695" w:rsidP="00835E8B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3960" w:type="dxa"/>
          </w:tcPr>
          <w:p w:rsidR="00C37695" w:rsidRPr="00835E8B" w:rsidRDefault="00C37695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Մասնակի ընդունվել է:</w:t>
            </w:r>
          </w:p>
          <w:p w:rsidR="00835E8B" w:rsidRPr="004572E8" w:rsidRDefault="00C37695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Չի ընդունվել առաջարկված 4-րդ և 7-րդ կետերի պահանջը, այն է` ախտահանման խցիկի և  աշխատակիցների սանիտարակենցաղային շենքերի առկայության պարտադիր լինելը, քանի որ առաջինը նշված է Նախագծի 21-րդ կետում, որտեղ ասվում է, որ խնամքի տունը,  հոգեկան առողջության խնդիրներ ունեցող անձին ընդունելիս, առաջին 2 ժամվա ընթացքում ապահովում է նրա անձնական իրերի և հագուստի ախտահանումը, որը կարող է կատարվել նաև հրավիրված պայմանագրային աշխատող հանդիսացող համապատասխան մասնագետի կողմից, իսկ երկրորդ պահանջը` կապված աշխատակիցների համար սանիտարակենցաղային շենքերի առկայության հետ, ուղղակիորեն հնարավոր չէ ապահովել, ելնելով խնամքի տան փոքրածավալ` 16 անձի</w:t>
            </w:r>
            <w:r w:rsidR="00A7180D"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 (կետ 6)</w:t>
            </w: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 համար նախատեսված լինելու հանգամանքով, սակայն  Նախագծի 10-րդ կետի 4-րդ ենթակետը նախատեսում է անձնակազմի համար աշխատանքային սենյակի </w:t>
            </w: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առկայություն:</w:t>
            </w:r>
          </w:p>
        </w:tc>
        <w:tc>
          <w:tcPr>
            <w:tcW w:w="3002" w:type="dxa"/>
          </w:tcPr>
          <w:p w:rsidR="00C37695" w:rsidRPr="00835E8B" w:rsidRDefault="00C37695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 համապատասխան կետը խմբագրվել է:</w:t>
            </w:r>
          </w:p>
        </w:tc>
      </w:tr>
      <w:tr w:rsidR="00C37695" w:rsidRPr="005569BF" w:rsidTr="0041198E">
        <w:tc>
          <w:tcPr>
            <w:tcW w:w="2790" w:type="dxa"/>
          </w:tcPr>
          <w:p w:rsidR="00C37695" w:rsidRPr="00835E8B" w:rsidRDefault="00C3769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C37695" w:rsidRPr="00835E8B" w:rsidRDefault="00C37695" w:rsidP="00835E8B">
            <w:pPr>
              <w:spacing w:after="0" w:line="240" w:lineRule="auto"/>
              <w:jc w:val="both"/>
              <w:rPr>
                <w:rFonts w:cs="Arial"/>
                <w:bCs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8. </w:t>
            </w:r>
            <w:r w:rsidRPr="00835E8B">
              <w:rPr>
                <w:sz w:val="22"/>
                <w:szCs w:val="22"/>
                <w:lang w:val="hy-AM"/>
              </w:rPr>
              <w:t xml:space="preserve">Նախագծի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>Հավելվածի 12-րդ կետում </w:t>
            </w:r>
            <w:r w:rsidRPr="00835E8B">
              <w:rPr>
                <w:color w:val="000000"/>
                <w:sz w:val="22"/>
                <w:szCs w:val="22"/>
                <w:lang w:val="hy-AM"/>
              </w:rPr>
              <w:t>Շուրջօրյա խնամքի տունը պետք է բավարարի Հայաստանի Հանրապետության օրենսդրությամբ շուրջօրյա խնամքի տան կոմունալ և սանիտարահիգիենիկ պայմաններին ներկայացվող այլ պահանջներին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>: նախադասությունը փոխարինել </w:t>
            </w:r>
            <w:r w:rsidRPr="00835E8B">
              <w:rPr>
                <w:color w:val="000000"/>
                <w:sz w:val="22"/>
                <w:szCs w:val="22"/>
                <w:lang w:val="hy-AM"/>
              </w:rPr>
              <w:t>Շուրջօրյա խնամքի տունը պետք է բավարարի Հայաստանի Հանրապետության սանիտարական օրենսդրության պահանջներին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>: նախադասությամբ՝ հիմք ընդունելով Հայաստանի Հանրապետության բնակչության սանիտարահամաճարա կային անվտանգության ապահովման մասին Հայաստանի Հանրապետության օրենքը:</w:t>
            </w:r>
          </w:p>
          <w:p w:rsidR="00C37695" w:rsidRPr="005E3430" w:rsidRDefault="00C37695" w:rsidP="00835E8B">
            <w:pPr>
              <w:spacing w:after="0" w:line="240" w:lineRule="auto"/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Միաժամանակ նշված կետում  ամրագրված է, որ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 xml:space="preserve">Հայաստանի Հանրապետության կառավարության որոշմամբ կարող են սահմանվել շուրջօրյա խնամքի տան գործունեության համար անհրաժեշտ ընդհանուր և բնակելի մակերեսին, անձնակազմին (աշխատողների քանակին և հաստիքներին), նրանց տրամադրվող սննդի չափաքանակին, դրա էներգետիկ արժեքին, կահույքի, հագուստի, սպիտակեղենի, կոշկեղենի, անկողնային և անձնական հիգիենայի պարագաների չափորոշիչներին, շուրջօրյա խնամքի տան անվտանգության ապահովմանը և այլ պայմաններին ներկայացվող պահանջներ: Հիմք ընդունելով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lastRenderedPageBreak/>
              <w:t>այն հանգամանքը, որ նշված ձևակերպումը  հայեցողական նշանակություն ունի, ուստի առաջարկում եմ կարող են սահմանվել բառերը փոխարինել սահմանվում են բառով:</w:t>
            </w:r>
          </w:p>
        </w:tc>
        <w:tc>
          <w:tcPr>
            <w:tcW w:w="3960" w:type="dxa"/>
          </w:tcPr>
          <w:p w:rsidR="00C37695" w:rsidRDefault="00411D12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</w:t>
            </w:r>
            <w:r w:rsidR="00911D66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  <w:p w:rsidR="00911D66" w:rsidRPr="00835E8B" w:rsidRDefault="00911D66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 xml:space="preserve">Միաժամանակ, </w:t>
            </w: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Նախագծում տրված են  խնամքի տանը ներկայացվող ընդհանուր պահանջները միայն, իսկ համաձայն ՀՀ կառավարության  2015թ. սեպտեմբերի 25-ի </w:t>
            </w:r>
            <w:r w:rsidRPr="002D2FA9">
              <w:rPr>
                <w:rFonts w:cs="Sylfaen"/>
                <w:bCs/>
                <w:sz w:val="22"/>
                <w:szCs w:val="22"/>
                <w:lang w:val="hy-AM"/>
              </w:rPr>
              <w:t>N 1112</w:t>
            </w: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-Ն որոշման 6-րդ կետի 1-ին ենթակետով տրված հանձնարարականի, նախատեսվում է մշակել և ՀՀ կառավարության հաստատմանը ներկայացնել տարեց և հաշմանդամություն ունեցող անձանց խնամքի տրամադրման համար անհրաժեշտ նվազագույն չափորոշիչները:</w:t>
            </w:r>
          </w:p>
        </w:tc>
        <w:tc>
          <w:tcPr>
            <w:tcW w:w="3002" w:type="dxa"/>
          </w:tcPr>
          <w:p w:rsidR="00C37695" w:rsidRPr="00835E8B" w:rsidRDefault="00C37695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</w:t>
            </w:r>
          </w:p>
        </w:tc>
      </w:tr>
      <w:tr w:rsidR="00622144" w:rsidRPr="005569BF" w:rsidTr="0041198E">
        <w:tc>
          <w:tcPr>
            <w:tcW w:w="279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411D12" w:rsidRPr="005E3430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9.  Նախագծի Հավելվածի 14-րդ կետի 5-րդ ենթակետով ամրագրվում է, որ շուրջօրյա խնամքի տուն ընդունվելու համար, հոգեկան առողջության խնդիրներ ունեցող անձը կամ նրա ներկայացուցիչը շուրջօրյա խնամքի տուն կամ շուրջօրյա խնամքի տանը խնամք տրամադրող համապատասխան կազմակերպությանը ներկայացնում է հոգեկան առողջության խնդիրներ ունեցող անձի բժշկական քարտը՝ Հայաստանի Հանրապետության աշխատանքի և սոցիալական հարցերի նախարարի և Հայաստանի Հանրապետության առողջապահության նախարարի համատեղ հրամանով հաստատված ձևին համապատասխան: Նշված կետի կապակցությամբ հայտնում եմ, որ պարզ չէ, թե ինչ քարտի մասին է խոսքը: Եթե խոսքը խնամքի տրամադրման համար դիմած հաճախորդի բժշկական քարտի մասին է, ապա դրա ձև հաստատվում է ՀՀ առողջապահության նախարարի և ՀՀ աշխատանքի և սոցիալական հարցերի նախարարի 2007 թվականի ապրիլի 2-ի համապատասխանաբար N 584-Ն և N 57-Ն համատեղ հրամանով, ուստի անհրաժեշտ է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բժշկական քարտը բառերը փոխարինել խնամքի տրամադրման համար դիմած հաճախորդի բժշկական քարտը բառերով, իսկ եթե խոսքը մեծահասակների ամբուլատոր բժշկական քարտի մասին է, ապա անհրաժեշտ է բժշկական քարտը բառերը փոխարինել մեծահասակների ամբուլատոր բժշկական քարտը բառերով, որի ձևը հաստատված է  ՀՀ առողջապահության նախարարի 2007 թվականի նոյեմբերի 26-ի թիվ 1752-Ն հրամանի Հավելված N 1-ով:</w:t>
            </w:r>
          </w:p>
        </w:tc>
        <w:tc>
          <w:tcPr>
            <w:tcW w:w="396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3002" w:type="dxa"/>
          </w:tcPr>
          <w:p w:rsidR="00622144" w:rsidRPr="00835E8B" w:rsidRDefault="00622144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 է, հստակեսվել է, թե որ բժշկական քարտի մասին է խ</w:t>
            </w:r>
            <w:r w:rsidR="0067073F" w:rsidRPr="00835E8B"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սքը:</w:t>
            </w:r>
          </w:p>
        </w:tc>
      </w:tr>
      <w:tr w:rsidR="00622144" w:rsidRPr="005569BF" w:rsidTr="0041198E">
        <w:tc>
          <w:tcPr>
            <w:tcW w:w="279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622144" w:rsidRPr="00A4251E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10.</w:t>
            </w:r>
            <w:r w:rsidRPr="00835E8B">
              <w:rPr>
                <w:sz w:val="22"/>
                <w:szCs w:val="22"/>
                <w:lang w:val="hy-AM"/>
              </w:rPr>
              <w:t xml:space="preserve">Նախագծի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Հավելվածի 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22</w:t>
            </w:r>
            <w:r w:rsidRPr="00835E8B">
              <w:rPr>
                <w:sz w:val="22"/>
                <w:szCs w:val="22"/>
                <w:lang w:val="hy-AM"/>
              </w:rPr>
              <w:t xml:space="preserve">-րդ կետում </w:t>
            </w:r>
            <w:r w:rsidRPr="00835E8B">
              <w:rPr>
                <w:color w:val="000000"/>
                <w:sz w:val="22"/>
                <w:szCs w:val="22"/>
                <w:lang w:val="hy-AM"/>
              </w:rPr>
              <w:t>«տեղեկացնում է նաև առողջապահության բնագավառում Հայաստանի Հանրապետության կառավարության լիազորած մարմնի պետական հակահամաճարակային տեսչության տարածքային կենտրոնին:» բառերը փոխարինել «հաղորդում է՝ համաձայն Հայաստանի Հանրապետության առողջապահության նախարարի կողմից սահմանված կարգի բառերով, իսկ</w:t>
            </w:r>
            <w:r w:rsidRPr="00835E8B">
              <w:rPr>
                <w:sz w:val="22"/>
                <w:szCs w:val="22"/>
                <w:lang w:val="hy-AM"/>
              </w:rPr>
              <w:t xml:space="preserve"> 39-րդ կետերում Հայաստանի Հանրապետության կառավարության լիազորած մարմնի պետական հակահամաճարակային տեսչության տարածքային կենտրոն բառերը փոխարինել Հայաստանի Հանրապետության առողջապահության նախարարության աշխատակազմի առողջապահական պետական տեսչության տարածքային մարմին բառերով՝ հիմք ընդունելով ՀՀ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կառավարության 2013 թվականի հուլիսի 25-ի թիվ 857-Ն որոշման 1-ի կետը և Հավելված N 2-ի 2-րդ բաժինը:</w:t>
            </w:r>
          </w:p>
        </w:tc>
        <w:tc>
          <w:tcPr>
            <w:tcW w:w="396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622144" w:rsidRPr="00835E8B" w:rsidRDefault="00622144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</w:t>
            </w:r>
            <w:r w:rsidR="0067073F"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520DB8" w:rsidRPr="005569BF" w:rsidTr="0041198E">
        <w:tc>
          <w:tcPr>
            <w:tcW w:w="2790" w:type="dxa"/>
          </w:tcPr>
          <w:p w:rsidR="00520DB8" w:rsidRPr="00835E8B" w:rsidRDefault="00520DB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11. Նախագծի Հավելվածի 22-րդ կետում շրջապատի համար վտանգ ներկայացնող այլ հիվանդության դեպք բառերը փոխարինել Հայաստանի Հանրապետության կառավարության 2001 թվականի դեկտեմբերի 27-ի N 1286 որոշմամբ հաստատված հիվանդություններ </w:t>
            </w:r>
            <w:r w:rsidR="00B46386"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sz w:val="22"/>
                <w:szCs w:val="22"/>
                <w:lang w:val="hy-AM"/>
              </w:rPr>
              <w:t xml:space="preserve">բառերով: </w:t>
            </w:r>
          </w:p>
          <w:p w:rsidR="00520DB8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Բացի այդ, նշված կետի բովանդակությունից բխում է, որ օժտված այլ աշխատողը (կամ պաշտոնատար անձը) ցանկացած վարակիչ հիվանդության (օրինակ՝ հարբուխի) հայտնաբերման դեպքում անմիջապես պետք է կանչի շտապ բժշկական օգնություն, սակայն հաշվի առնելով այն հանգամանքը, որ շուրջօրյա խնամքի տունը ունի բժիշկ, որը նշված դեպքերում ևս կարող է տրամադրել անհրաժեշտ բժշկական օգնություն և սպասարկում, ուստի առաջարկում եմ անմիջապես շտապ բժշկական օգնություն կանչելու իմպերատիվ պահանջը սահմանել միայն Հայաստանի Հանրապետության կառավարության 2001 թվականի դեկտեմբերի 27-ի N 1286 որոշմամբ հաստատված շրջապատի համար վտանգ ներկայացնող հիվանդությունների հայտնաբերման դեպքում:</w:t>
            </w:r>
          </w:p>
        </w:tc>
        <w:tc>
          <w:tcPr>
            <w:tcW w:w="3960" w:type="dxa"/>
          </w:tcPr>
          <w:p w:rsidR="00C37695" w:rsidRPr="00835E8B" w:rsidRDefault="00B46386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 մասնակի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520DB8" w:rsidRPr="00835E8B" w:rsidRDefault="00B46386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 և հստակեցվել, թե որ դեպքերում պետք է կանչվի շտապ օգնություն</w:t>
            </w:r>
            <w:r w:rsidR="0067073F"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622144" w:rsidRPr="005569BF" w:rsidTr="0041198E">
        <w:tc>
          <w:tcPr>
            <w:tcW w:w="279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802EC" w:rsidRPr="00835E8B" w:rsidRDefault="00622144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12.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Նախագծի</w:t>
            </w:r>
            <w:r w:rsidRPr="00835E8B">
              <w:rPr>
                <w:sz w:val="22"/>
                <w:szCs w:val="22"/>
                <w:lang w:val="hy-AM"/>
              </w:rPr>
              <w:t xml:space="preserve"> 23-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կետի</w:t>
            </w:r>
            <w:r w:rsidRPr="00835E8B">
              <w:rPr>
                <w:sz w:val="22"/>
                <w:szCs w:val="22"/>
                <w:lang w:val="hy-AM"/>
              </w:rPr>
              <w:t xml:space="preserve">  4-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ենթակետում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նշված</w:t>
            </w:r>
            <w:r w:rsidRPr="00835E8B">
              <w:rPr>
                <w:sz w:val="22"/>
                <w:szCs w:val="22"/>
                <w:lang w:val="hy-AM"/>
              </w:rPr>
              <w:t xml:space="preserve"> 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ստացիոնար</w:t>
            </w:r>
            <w:r w:rsidRPr="00835E8B">
              <w:rPr>
                <w:sz w:val="22"/>
                <w:szCs w:val="22"/>
                <w:lang w:val="hy-AM"/>
              </w:rPr>
              <w:t xml:space="preserve">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բառը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փոխարինել</w:t>
            </w:r>
            <w:r w:rsidRPr="00835E8B">
              <w:rPr>
                <w:sz w:val="22"/>
                <w:szCs w:val="22"/>
                <w:lang w:val="hy-AM"/>
              </w:rPr>
              <w:t xml:space="preserve"> 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հիվանդանոցային</w:t>
            </w:r>
            <w:r w:rsidRPr="00835E8B">
              <w:rPr>
                <w:sz w:val="22"/>
                <w:szCs w:val="22"/>
                <w:lang w:val="hy-AM"/>
              </w:rPr>
              <w:t xml:space="preserve">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բառով</w:t>
            </w:r>
            <w:r w:rsidRPr="00835E8B">
              <w:rPr>
                <w:sz w:val="22"/>
                <w:szCs w:val="22"/>
                <w:lang w:val="hy-AM"/>
              </w:rPr>
              <w:t xml:space="preserve">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ինչպես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նաև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lastRenderedPageBreak/>
              <w:t>հստակեցնել</w:t>
            </w:r>
            <w:r w:rsidRPr="00835E8B">
              <w:rPr>
                <w:sz w:val="22"/>
                <w:szCs w:val="22"/>
                <w:lang w:val="hy-AM"/>
              </w:rPr>
              <w:t xml:space="preserve">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թե</w:t>
            </w:r>
            <w:r w:rsidRPr="00835E8B">
              <w:rPr>
                <w:sz w:val="22"/>
                <w:szCs w:val="22"/>
                <w:lang w:val="hy-AM"/>
              </w:rPr>
              <w:t xml:space="preserve"> 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բժշկական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այլ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հակացուցումներ</w:t>
            </w:r>
            <w:r w:rsidRPr="00835E8B">
              <w:rPr>
                <w:sz w:val="22"/>
                <w:szCs w:val="22"/>
                <w:lang w:val="hy-AM"/>
              </w:rPr>
              <w:t xml:space="preserve">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բառերը</w:t>
            </w:r>
            <w:r w:rsidRPr="00835E8B">
              <w:rPr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ինչի</w:t>
            </w:r>
            <w:r w:rsidRPr="00835E8B">
              <w:rPr>
                <w:sz w:val="22"/>
                <w:szCs w:val="22"/>
                <w:lang w:val="hy-AM"/>
              </w:rPr>
              <w:t>ն են վերաբերում:</w:t>
            </w:r>
          </w:p>
        </w:tc>
        <w:tc>
          <w:tcPr>
            <w:tcW w:w="3960" w:type="dxa"/>
          </w:tcPr>
          <w:p w:rsidR="00622144" w:rsidRPr="00835E8B" w:rsidRDefault="00622144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622144" w:rsidRPr="00835E8B" w:rsidRDefault="00622144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համապատասխան կետը խմբագրվել և հստակեցվել 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է</w:t>
            </w:r>
            <w:r w:rsidR="0067073F"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615935" w:rsidRPr="005569BF" w:rsidTr="0041198E">
        <w:tc>
          <w:tcPr>
            <w:tcW w:w="279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802EC" w:rsidRPr="00835E8B" w:rsidRDefault="008F10BC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13.Նախագծի 24-րդ կետում  դեղամիջոցների բառը փոխարինել դեղերի բառով՝ հիմք ընդունելով Դեղերի մասին Հայաստանի Հանրապետության օրենքի դրույթները:</w:t>
            </w:r>
          </w:p>
        </w:tc>
        <w:tc>
          <w:tcPr>
            <w:tcW w:w="3960" w:type="dxa"/>
          </w:tcPr>
          <w:p w:rsidR="002474D6" w:rsidRPr="00835E8B" w:rsidRDefault="00B46386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002" w:type="dxa"/>
          </w:tcPr>
          <w:p w:rsidR="00615935" w:rsidRPr="00835E8B" w:rsidRDefault="00B46386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</w:t>
            </w:r>
            <w:r w:rsidR="0067073F"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0802EC" w:rsidRPr="005569BF" w:rsidTr="0041198E">
        <w:tc>
          <w:tcPr>
            <w:tcW w:w="2790" w:type="dxa"/>
          </w:tcPr>
          <w:p w:rsidR="000802EC" w:rsidRPr="00835E8B" w:rsidRDefault="000802EC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802EC" w:rsidRPr="00835E8B" w:rsidRDefault="000802EC" w:rsidP="00835E8B">
            <w:pPr>
              <w:spacing w:after="0" w:line="240" w:lineRule="auto"/>
              <w:jc w:val="both"/>
              <w:rPr>
                <w:rFonts w:cs="Arial"/>
                <w:bCs/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14.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 Նախագծի Հավելվածի 35-րդ կետի 6-րդ ենթակետում սահմանվում է, որ շուրջօրյա խնամքի տունը կազմակերպում է այնտեղ բնակվող (խնամվող) </w:t>
            </w:r>
            <w:r w:rsidRPr="00835E8B">
              <w:rPr>
                <w:sz w:val="22"/>
                <w:szCs w:val="22"/>
                <w:lang w:val="hy-AM"/>
              </w:rPr>
              <w:t xml:space="preserve">հոգեկան առողջության խնդիրներ ունեցող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>անձանց բժշկասոցիալական փորձաքննությունը, իսկ Նախագծի Հավելվածի 45-րդ կետի 8-րդ ենթակետով սահմանվում է, որ շուրջօրյա խնամքի տան սոցիալական աշխատողը բժշկասոցիալական փորձաքննության կազմակերպման հետ կապված աջակցություն է ցուցաբերում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Սակայն ՀՀ կառավարության Բժշկասոցիալական փորձաքննության իրականացման կարգը հաստատելու մասին 2006 թվականի մարտի 2-ի N 276-Ն որոշման Հավելված N 1-ի 2-րդ կետի համաձայն՝ բժշկասոցիալական փորձաքննություն իրականացնում են բժշկասոցիալական փորձաքննության ոլորտում իրավասու պետական մարմինները` Հայաստանի Հանրապետության աշխատանքի և սոցիալական հարցերի նախարարության Հայաստանի Հանրապետության 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բժշկասոցիալական փորձաքննության գործակալության համապատասխան կառուցվածքային ստորաբաժանումը և տարածքային մարմինները` բժշկասոցիալական փորձաքննական հանձնաժողովները: Հիմք ընդունելով նշված կետը՝ անհրաժեշտ է Նախագծի 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Հավելվածի 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նշված կետերում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հստակեցնել, թե բժշկասոցիալական փորձաքննության կազմակերպումն իր մեջ ինչ գործողություններ է ներառում: </w:t>
            </w:r>
          </w:p>
        </w:tc>
        <w:tc>
          <w:tcPr>
            <w:tcW w:w="3960" w:type="dxa"/>
          </w:tcPr>
          <w:p w:rsidR="005616C7" w:rsidRDefault="005616C7" w:rsidP="005616C7">
            <w:pPr>
              <w:pStyle w:val="NormalWeb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Ը</w:t>
            </w:r>
            <w:r w:rsidR="000802EC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նդունվել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է մասնակի</w:t>
            </w:r>
            <w:r w:rsidR="000802EC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:                           </w:t>
            </w:r>
          </w:p>
          <w:p w:rsidR="000802EC" w:rsidRPr="00835E8B" w:rsidRDefault="000802EC" w:rsidP="005616C7">
            <w:pPr>
              <w:pStyle w:val="NormalWeb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Նախագծի </w:t>
            </w:r>
            <w:r w:rsidRPr="00835E8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Հավելվածի 35-րդ կետի 6-րդ ենթակետում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սահմանված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է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ոչ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թե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բժշկասոցիալական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փորձաքննություն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անցկացնելու, որը մասնագիտացված գործունեություն է, այլ դրա անցկացման կազմակերպման գործառույթ (աջակցություն փաստաթղթերի նախապատրաստման,  բուժհաստատություն ուղեկցման և աջակցության այլ ձևերով), ինչը նախատեսված է նաև «Սոցիալական աջակցության մասին» ՀՀ օրենքում  և  ՀՀ կառավարության 2015թ. սեպտեմբերի 25-ի  N1112-Ն որոշմամբ:</w:t>
            </w:r>
          </w:p>
        </w:tc>
        <w:tc>
          <w:tcPr>
            <w:tcW w:w="3002" w:type="dxa"/>
          </w:tcPr>
          <w:p w:rsidR="000802EC" w:rsidRPr="00835E8B" w:rsidRDefault="005616C7" w:rsidP="005616C7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խմբագրվել է և «կազմակերպում է բժշկասոցիալական փորձաքննության  ապահովումը» գործառույթը հստակեցվել է:</w:t>
            </w:r>
          </w:p>
        </w:tc>
      </w:tr>
      <w:tr w:rsidR="00A7180D" w:rsidRPr="005569BF" w:rsidTr="0041198E">
        <w:tc>
          <w:tcPr>
            <w:tcW w:w="2790" w:type="dxa"/>
          </w:tcPr>
          <w:p w:rsidR="00A7180D" w:rsidRPr="00835E8B" w:rsidRDefault="00A7180D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A7180D" w:rsidRPr="00835E8B" w:rsidRDefault="00A7180D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15. </w:t>
            </w:r>
            <w:r w:rsidRPr="00835E8B">
              <w:rPr>
                <w:sz w:val="22"/>
                <w:szCs w:val="22"/>
                <w:lang w:val="hy-AM"/>
              </w:rPr>
              <w:t xml:space="preserve">Նախագծի Հավելվածի 35-րդ կետի 2-րդ ենթակետով և 38-րդ  կետով ամրագրված է, որ շուրջօրյա խնամքի տունը կազմակերպում է այնտեղ բնակվող  (խնամվող) հոգեկան առողջության խնդիրներ ունեցող անձանց առաջնային բժշկական օգնության և սպասարկման տրամադրումը: Սակայն նշված ձևակերպումից պարզ չէ առաջնային բժշկական օգնության և սպասարկման տրամադրման կազմակերպումը իր մեջ ի՞նչ միջոցառումներ է ներառում. եթե խոսքը շուրջօրյա խնամքի տանը առաջնային բժշկական օգնության և սպասարկման տրամադրման մասին է, ապա նշված գործունեությունը, որպես բժշկական օգնության և սպասարկման տեսակ, կարող է իրականացվել 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լիցենզիայի առկայության դեպքում՝ հիմք ընդունելով Լիցենզավորման մասին ՀՀ օրենքի 43-րդ հոդվածի 2-րդ մասի աղյուսակի 3-րդ կետը: </w:t>
            </w: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>Բացի այդ,</w:t>
            </w:r>
            <w:r w:rsidRPr="00835E8B">
              <w:rPr>
                <w:sz w:val="22"/>
                <w:szCs w:val="22"/>
                <w:lang w:val="hy-AM"/>
              </w:rPr>
              <w:t xml:space="preserve">  շուրջօրյա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խնամքի տանը բնակվող հոգեկան խանգարումով տառապող անձինք, որպես հաշմադամություն ունեցող անձինք, Հայաստանի Հանրապետության կառավարության 2004 թվականի մարտի 4-ի 318-Ն որոշմամբ ունեն պետության կողմից երաշխավորված անվճար և արտոնյալ պայմաններով բժշկական օգնություն և սպասարկում ստանալու իրավունք, իսկ նրանց առողջության առաջնային պահպանումն իրականացվում է Հայաստանի Հանրապետության կառավարության 2006 թվականի մարտի 30-ի N 420-Ն որոշմամբ սահմանված կարգով առողջության առաջնային պահպանման հաստատության կողմից, ուստի Նախագծի Հավելվածի սույն կետի բովանդակությունից բխում է, որ պետությունը նշված անձանց անվճար բժշկական օգնություն և սպասարկում տրամադրելու համար միջոցներ է հատկացնում և՛ առողջության առաջնային պահպանման հաստատություններին, և՛ շուրջօրյա խնամքի տանը, ուստի առաջարկում եմ, սահմանել որ շուրջօրյա խնամքի տունը ապահովում է այնտեղ բնակվող հոգեկան խանգարումով տառապող անձանց առաջնային բժշկական օգնության և սպասարկման տրամադրումը ԱԱՊ համապատասխան կազմակերպություններին:</w:t>
            </w:r>
          </w:p>
          <w:p w:rsidR="00A7180D" w:rsidRPr="005E3430" w:rsidRDefault="00A7180D" w:rsidP="005E3430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 xml:space="preserve">Միաժամանակ, անհրաժեշտ է  Նախագծի Հավելվածի 35-րդ կետից հանել 7-րդ </w:t>
            </w:r>
            <w:r w:rsidRPr="00835E8B">
              <w:rPr>
                <w:sz w:val="22"/>
                <w:szCs w:val="22"/>
                <w:lang w:val="hy-AM"/>
              </w:rPr>
              <w:lastRenderedPageBreak/>
              <w:t>ենթակետը, հիմք ընդունելով այն հանգամանքը, որ հիվանդանոցային բժշկական օգնություն և սպասարկում իրականացնող կազմակերպություն ուղեգրումը իրականացվում է առողջության առաջնային պահպանում իրականացնող հաստատության կողմից, ինչպես նաև հիմք ընդունելով այն հանգամանքը, որ Հայաստանի Հանրապետության կառավարության 2004 թվականի մարտի 4-ի 318-Ն որոշման Հավելված N 7-ի 4-րդ կետով շուրջօրյա խնամքի տները ընդգրկված չեն   հիվանդանոցային բժշկական օգնություն և սպասարկում իրականացնող կազմակերպություն ուղեգիր տրամադրող մարմինների շարքում:</w:t>
            </w:r>
          </w:p>
        </w:tc>
        <w:tc>
          <w:tcPr>
            <w:tcW w:w="3960" w:type="dxa"/>
          </w:tcPr>
          <w:p w:rsidR="00411D12" w:rsidRPr="00835E8B" w:rsidRDefault="00411D12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 է մասնակի:</w:t>
            </w:r>
          </w:p>
          <w:p w:rsidR="000802EC" w:rsidRPr="00835E8B" w:rsidRDefault="00411D12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«Բ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ժշկական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օգնություն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սպասարկում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>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տեսակի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լիցենզավորումը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Լիցենզավորման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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պարտադիր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նորմ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նման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գործունություն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ծավալելու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բոլոր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դեպքերի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190373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190373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ուստի</w:t>
            </w:r>
            <w:r w:rsidR="000802EC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կրկնաբանությունից</w:t>
            </w:r>
            <w:r w:rsidR="000802EC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802EC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խուսափելու</w:t>
            </w:r>
            <w:r w:rsidR="000802EC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802EC"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նպատակով</w:t>
            </w:r>
            <w:r w:rsidR="000802EC" w:rsidRPr="00835E8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0802EC"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Նախագծում այդ մասին հղում չի արվել:  Խնամքի տունը պետք է ունենա բժիշկ, որը բնականաբար կունանա համապատասխան լիցենզիա:</w:t>
            </w:r>
          </w:p>
          <w:p w:rsidR="000802EC" w:rsidRPr="00835E8B" w:rsidRDefault="000802EC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Ինչ վերաբերում է բժշկական օգնություն և սպասարկում իրականացնելուն, ապա խնամքի տունը, համաձայն Նախագծի հավելվածի 35_րդ կետի 2-րդ 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ենթակետի, կազմակերպում է այդ օգնության տրամադրումը, այլ ոչ թե ինքն է տրամադրում, 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ինչը նախատեսված է նաև «Սոցիալական աջակցության մասին» ՀՀ օրենքում  և  ՀՀ կառավարության 2015թ. սեպտեմբերի 25-ի  N1112-Ն որոշմամբ:</w:t>
            </w:r>
          </w:p>
          <w:p w:rsidR="0067073F" w:rsidRPr="00835E8B" w:rsidRDefault="0067073F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Ինչ վերաբերում է խնամքի տան բնակչին 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հիվանդանոցային բժշկական օգնություն և սպասարկում իրականացնող կազմակերպություն ուղեգիր տրամադրելուն, ապա</w:t>
            </w: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այդ դրույթը ենթակա է խմբագրման:</w:t>
            </w:r>
          </w:p>
          <w:p w:rsidR="000802EC" w:rsidRPr="00835E8B" w:rsidRDefault="000802EC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802EC" w:rsidRPr="00835E8B" w:rsidRDefault="000802EC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7180D" w:rsidRPr="00835E8B" w:rsidRDefault="00411D12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3002" w:type="dxa"/>
          </w:tcPr>
          <w:p w:rsidR="00A7180D" w:rsidRPr="00835E8B" w:rsidRDefault="00411D12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Նախագծի համապատասխան կետի` անձին հիվանդանոցային բժշկական օգնություն և սպասարկում իրականացնող կազմակերպություն ուղեգրելու վերաբերյալ դրույթը խմբագրվել  և հստակեցվել է:</w:t>
            </w:r>
          </w:p>
        </w:tc>
      </w:tr>
      <w:tr w:rsidR="00A7180D" w:rsidRPr="005569BF" w:rsidTr="0041198E">
        <w:tc>
          <w:tcPr>
            <w:tcW w:w="2790" w:type="dxa"/>
          </w:tcPr>
          <w:p w:rsidR="00A7180D" w:rsidRPr="00835E8B" w:rsidRDefault="00A7180D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A7180D" w:rsidRPr="00835E8B" w:rsidRDefault="00A7180D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16. Նախագծի 48-րդ կետի 1-ին և 2-րդ ենթակետերի բովանդակությունից  հետևում է, որ շուրջօրյա խնամքի տան սպասարկող-խոհարարը սահմանում է կամ ապահովում է ՀԱԽՈՒ անձանց հատկացվող սննդի չափաբաժինների սահմանումը և կազմում է շուրջօրյա խնամքի տան ճաշացուցակը: Սակայն հաշվի առնելով, որ այս գործառույթները պահանջում են մասնագիտական գիտելիքներ, ուստի դրանք չեն կարող իրականացվել սպասարկող-խոհարարի կողմից: Դրանք պետք է իրականացվեն միայն հատուկ մասնագիտական գիտելիքներ ունեցող անձի՝ բժիշկ-սննդաբանի (դիետոլոգ) կողմից, որը </w:t>
            </w:r>
            <w:r w:rsidRPr="00835E8B">
              <w:rPr>
                <w:color w:val="000000"/>
                <w:sz w:val="22"/>
                <w:szCs w:val="22"/>
                <w:lang w:val="hy-AM"/>
              </w:rPr>
              <w:lastRenderedPageBreak/>
              <w:t>պետք է հաստատվի խնամքի տան ղեկավարի (պաշտոնատար անձի) կողմից:</w:t>
            </w:r>
          </w:p>
          <w:p w:rsidR="00A7180D" w:rsidRPr="00835E8B" w:rsidRDefault="00A7180D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lang w:val="hy-AM"/>
              </w:rPr>
            </w:pPr>
            <w:r w:rsidRPr="00835E8B">
              <w:rPr>
                <w:color w:val="000000"/>
                <w:sz w:val="22"/>
                <w:szCs w:val="22"/>
                <w:lang w:val="hy-AM"/>
              </w:rPr>
              <w:t xml:space="preserve">Միաժամանակ առաջարկում եմ, նշված կետում ավելացնել հետևյալ բովանակությամբ նոր կետ. Շուրջօրյա խնամքի տան սպասարկող-խոհարարը պետք է ենթարկվի առողջական վիճակի պարտադիր նախնական (աշխատանքի ընդունվելիս) և պարբերական բժշկական զննության՝ համաձայն ՀՀ կառավարության 27.03.2003 թվականի N347-Ն որոշմամբ սահմանված կարգի:  </w:t>
            </w:r>
            <w:r w:rsidRPr="00835E8B">
              <w:rPr>
                <w:rFonts w:ascii="Courier New" w:hAnsi="Courier New" w:cs="Courier New"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3960" w:type="dxa"/>
          </w:tcPr>
          <w:p w:rsidR="00A7180D" w:rsidRPr="00835E8B" w:rsidRDefault="0067073F" w:rsidP="00835E8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Ընդունվել է մասնակի:</w:t>
            </w:r>
          </w:p>
          <w:p w:rsidR="0067073F" w:rsidRPr="00835E8B" w:rsidRDefault="005616C7" w:rsidP="005616C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</w:t>
            </w:r>
            <w:r w:rsidR="0067073F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նհրաժեշտություն չկա Նախագծում ավելացնել դրույթ, որ</w:t>
            </w:r>
            <w:r w:rsidR="00A24FC3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</w:t>
            </w:r>
            <w:r w:rsidR="0067073F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արդեն իսկ նախատեսված է այլ իրավական ակտով` կրկն</w:t>
            </w:r>
            <w:r w:rsidR="009A66B2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աբանություն</w:t>
            </w:r>
            <w:r w:rsidR="0067073F" w:rsidRPr="00835E8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ից խուսափելու համար: Խոսքը վերաբերում է </w:t>
            </w:r>
            <w:r w:rsidR="0067073F" w:rsidRPr="00835E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ՀՀ կառավարության 2003թ. մարտի 27-ի N347-Ն որոշմամբ սահմանված`   առողջական վիճակի պարտադիր նախնական (աշխատանքի ընդունվելիս) և պարբերական բժշկական զննության կարգին և պարտադիր բժշկական զննության ենթակա անձանց ցանկին:</w:t>
            </w:r>
          </w:p>
        </w:tc>
        <w:tc>
          <w:tcPr>
            <w:tcW w:w="3002" w:type="dxa"/>
          </w:tcPr>
          <w:p w:rsidR="00A7180D" w:rsidRPr="00835E8B" w:rsidRDefault="0067073F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</w:t>
            </w:r>
            <w:r w:rsidR="00A24FC3" w:rsidRPr="00835E8B">
              <w:rPr>
                <w:rFonts w:ascii="GHEA Grapalat" w:hAnsi="GHEA Grapalat"/>
                <w:sz w:val="22"/>
                <w:szCs w:val="22"/>
                <w:lang w:val="hy-AM"/>
              </w:rPr>
              <w:t>` կապված խնամքի տան խոհարարի գործառույթների հետ, խմբագրվել է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A7180D" w:rsidRPr="005569BF" w:rsidTr="0041198E">
        <w:tc>
          <w:tcPr>
            <w:tcW w:w="2790" w:type="dxa"/>
          </w:tcPr>
          <w:p w:rsidR="00A7180D" w:rsidRPr="00835E8B" w:rsidRDefault="00A7180D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835E8B" w:rsidRPr="005E3430" w:rsidRDefault="00A7180D" w:rsidP="00835E8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E8B">
              <w:rPr>
                <w:rFonts w:cs="Arial"/>
                <w:bCs/>
                <w:sz w:val="22"/>
                <w:szCs w:val="22"/>
                <w:lang w:val="hy-AM"/>
              </w:rPr>
              <w:t xml:space="preserve">17.Նախագծի Հավելվածի 50-րդ կետում ամրագրվում է, որ շուրջօրյա խնամքի տան անձնակազմում ներգրավվում է նաև հոգեբույժը: Հիմք ընդունելով այն հանգամանքը, որ հոգեբուժական օգնությունը, համաձայն </w:t>
            </w:r>
            <w:r w:rsidRPr="00835E8B">
              <w:rPr>
                <w:color w:val="000000"/>
                <w:sz w:val="22"/>
                <w:szCs w:val="22"/>
                <w:shd w:val="clear" w:color="auto" w:fill="FFFFFF"/>
                <w:lang w:val="hy-AM"/>
              </w:rPr>
              <w:t>ՀՀ կառավարության 2008 թվականի մարտի 27-ի թիվ 276-Ն որոշման Հավելվածի 2-րդ կետի 9-րդ ենթակետի, հանդիսանում է մասնագիտացված բժշկական օգնության տեսակ, ուստի այն ևս կարող է իրականացվել լիցենզիայի առկայության դեպքում՝ հիմք ընդունելով Լիցենզավորման մասին ՀՀ օրենքի 43-րդ հոդվածի 2-րդ մասի աղյուսակի 3-րդ կետը:</w:t>
            </w:r>
          </w:p>
        </w:tc>
        <w:tc>
          <w:tcPr>
            <w:tcW w:w="3960" w:type="dxa"/>
          </w:tcPr>
          <w:p w:rsidR="00A7180D" w:rsidRPr="00835E8B" w:rsidRDefault="000302CA" w:rsidP="00B95BF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="00B95BF7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3002" w:type="dxa"/>
          </w:tcPr>
          <w:p w:rsidR="00A7180D" w:rsidRPr="00835E8B" w:rsidRDefault="00B95BF7" w:rsidP="00B95BF7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5BF7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համապատասխան կետը` կապված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հոգեբույժի ներգրավման  հետ, խմբագրվել է: Շուրջօրյա խնամքի տան խնամվողներին հոգեբուժական օգնությունը կտրամադրվի  խնամքի տան գտնվելու վայրի մասնագիտացված բժշկական կազմակերպության հոգեբույժի կողմից` պայմանագրային հիմունքներով:</w:t>
            </w:r>
          </w:p>
        </w:tc>
      </w:tr>
      <w:tr w:rsidR="00615935" w:rsidRPr="005569BF" w:rsidTr="0041198E">
        <w:tc>
          <w:tcPr>
            <w:tcW w:w="2790" w:type="dxa"/>
          </w:tcPr>
          <w:p w:rsidR="00615935" w:rsidRPr="00835E8B" w:rsidRDefault="00615935" w:rsidP="00835E8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35E8B">
              <w:rPr>
                <w:sz w:val="22"/>
                <w:szCs w:val="22"/>
                <w:lang w:val="hy-AM"/>
              </w:rPr>
              <w:t>ՀՀ ֆինանսների նախարարություն</w:t>
            </w:r>
          </w:p>
          <w:p w:rsidR="000318E5" w:rsidRPr="00835E8B" w:rsidRDefault="000318E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</w:rPr>
              <w:t>05.10.2015</w:t>
            </w:r>
            <w:r w:rsidRPr="00835E8B">
              <w:rPr>
                <w:sz w:val="22"/>
                <w:szCs w:val="22"/>
                <w:lang w:val="hy-AM"/>
              </w:rPr>
              <w:t>թ</w:t>
            </w:r>
            <w:r w:rsidRPr="00835E8B">
              <w:rPr>
                <w:sz w:val="22"/>
                <w:szCs w:val="22"/>
              </w:rPr>
              <w:t xml:space="preserve">.   </w:t>
            </w:r>
          </w:p>
          <w:p w:rsidR="000318E5" w:rsidRPr="00835E8B" w:rsidRDefault="000318E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835E8B">
              <w:rPr>
                <w:sz w:val="22"/>
                <w:szCs w:val="22"/>
                <w:lang w:val="hy-AM"/>
              </w:rPr>
              <w:t>01/83-</w:t>
            </w:r>
            <w:r w:rsidRPr="00835E8B">
              <w:rPr>
                <w:sz w:val="22"/>
                <w:szCs w:val="22"/>
              </w:rPr>
              <w:t>1</w:t>
            </w:r>
            <w:r w:rsidRPr="00835E8B">
              <w:rPr>
                <w:sz w:val="22"/>
                <w:szCs w:val="22"/>
                <w:lang w:val="hy-AM"/>
              </w:rPr>
              <w:t>/29126-15</w:t>
            </w:r>
          </w:p>
        </w:tc>
        <w:tc>
          <w:tcPr>
            <w:tcW w:w="4950" w:type="dxa"/>
          </w:tcPr>
          <w:p w:rsidR="000318E5" w:rsidRPr="004572E8" w:rsidRDefault="004D6895" w:rsidP="00835E8B">
            <w:pPr>
              <w:spacing w:line="240" w:lineRule="auto"/>
              <w:contextualSpacing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hy-AM"/>
              </w:rPr>
              <w:t>1.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Նախագծի վերնագրում «այլ» բառը փոխարինել «սպասարկման այլընտրանքային» բառերով և դրան համապատասխան խմբագրել Նախագիծը և </w:t>
            </w:r>
            <w:r w:rsidR="000318E5" w:rsidRPr="00835E8B">
              <w:rPr>
                <w:sz w:val="22"/>
                <w:szCs w:val="22"/>
                <w:lang w:val="fr-FR"/>
              </w:rPr>
              <w:lastRenderedPageBreak/>
              <w:t>դրանով հաստատվող կարգը (այսուհետ` Կարգ):</w:t>
            </w:r>
          </w:p>
        </w:tc>
        <w:tc>
          <w:tcPr>
            <w:tcW w:w="3960" w:type="dxa"/>
          </w:tcPr>
          <w:p w:rsidR="00615935" w:rsidRPr="00835E8B" w:rsidRDefault="00835E8B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615935" w:rsidRPr="00835E8B" w:rsidRDefault="00835E8B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վերնագիրը և դրան համապատասխան ամբողջ տեքստը խմբագրվել են»:</w:t>
            </w:r>
          </w:p>
        </w:tc>
      </w:tr>
      <w:tr w:rsidR="000318E5" w:rsidRPr="00835E8B" w:rsidTr="0041198E">
        <w:tc>
          <w:tcPr>
            <w:tcW w:w="2790" w:type="dxa"/>
          </w:tcPr>
          <w:p w:rsidR="000318E5" w:rsidRPr="00835E8B" w:rsidRDefault="000318E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318E5" w:rsidRPr="005E3430" w:rsidRDefault="004D6895" w:rsidP="00835E8B">
            <w:pPr>
              <w:spacing w:line="240" w:lineRule="auto"/>
              <w:contextualSpacing/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2.</w:t>
            </w:r>
            <w:r w:rsidR="000318E5" w:rsidRPr="00835E8B">
              <w:rPr>
                <w:sz w:val="22"/>
                <w:szCs w:val="22"/>
                <w:lang w:val="fr-FR"/>
              </w:rPr>
              <w:t>Նախագծի նախաբանում «և» բառից հետո հանել «13-րդ հոդվածի» բառերը:</w:t>
            </w:r>
          </w:p>
        </w:tc>
        <w:tc>
          <w:tcPr>
            <w:tcW w:w="3960" w:type="dxa"/>
          </w:tcPr>
          <w:p w:rsidR="000318E5" w:rsidRPr="00835E8B" w:rsidRDefault="00A857FB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0318E5" w:rsidRPr="00835E8B" w:rsidRDefault="00A857FB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նախաբանը խմբագրվել է:</w:t>
            </w:r>
          </w:p>
        </w:tc>
      </w:tr>
      <w:tr w:rsidR="000318E5" w:rsidRPr="005569BF" w:rsidTr="0041198E">
        <w:tc>
          <w:tcPr>
            <w:tcW w:w="2790" w:type="dxa"/>
          </w:tcPr>
          <w:p w:rsidR="000318E5" w:rsidRPr="00835E8B" w:rsidRDefault="000318E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318E5" w:rsidRPr="005E3430" w:rsidRDefault="004D6895" w:rsidP="00835E8B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3.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Կարգի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3-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րդ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կետի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3-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րդ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ենթակետի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«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օրենքի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»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բառից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հետո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լրացնել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«(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այսուհետ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`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Օրենք</w:t>
            </w:r>
            <w:r w:rsidR="000318E5" w:rsidRPr="00835E8B">
              <w:rPr>
                <w:sz w:val="22"/>
                <w:szCs w:val="22"/>
                <w:lang w:val="fr-FR"/>
              </w:rPr>
              <w:t>) 13-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րդ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հոդվածի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1-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ին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մասի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,»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բառերը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և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դրան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համապատասխան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Կարգը</w:t>
            </w:r>
            <w:r w:rsidR="000318E5" w:rsidRPr="00835E8B">
              <w:rPr>
                <w:sz w:val="22"/>
                <w:szCs w:val="22"/>
                <w:lang w:val="fr-FR"/>
              </w:rPr>
              <w:t xml:space="preserve"> 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խմբագրել</w:t>
            </w:r>
            <w:r w:rsidR="000318E5" w:rsidRPr="00835E8B">
              <w:rPr>
                <w:sz w:val="22"/>
                <w:szCs w:val="22"/>
                <w:lang w:val="fr-FR"/>
              </w:rPr>
              <w:t>: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 xml:space="preserve"> Կարգի 3-րդ կետի 5-րդ ենթակետի «օրենքի» բառից հետո լրացնել «2-րդ հոդվածի 1-ին մասի 15-րդ կետի» բառերը</w:t>
            </w:r>
            <w:r w:rsidR="000318E5" w:rsidRPr="00835E8B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>:</w:t>
            </w:r>
          </w:p>
        </w:tc>
        <w:tc>
          <w:tcPr>
            <w:tcW w:w="3960" w:type="dxa"/>
          </w:tcPr>
          <w:p w:rsidR="000318E5" w:rsidRPr="00835E8B" w:rsidRDefault="00A857FB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0318E5" w:rsidRPr="00835E8B" w:rsidRDefault="00A857FB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կետերը և դրանց համապատասխան Կարգի ամբողջ տեքստը խմբագրվել են:</w:t>
            </w:r>
          </w:p>
        </w:tc>
      </w:tr>
      <w:tr w:rsidR="000318E5" w:rsidRPr="005569BF" w:rsidTr="0041198E">
        <w:tc>
          <w:tcPr>
            <w:tcW w:w="2790" w:type="dxa"/>
          </w:tcPr>
          <w:p w:rsidR="000318E5" w:rsidRPr="00835E8B" w:rsidRDefault="000318E5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0318E5" w:rsidRPr="005E3430" w:rsidRDefault="004D6895" w:rsidP="00835E8B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4.</w:t>
            </w:r>
            <w:r w:rsidR="000318E5" w:rsidRPr="00835E8B">
              <w:rPr>
                <w:rFonts w:cs="Sylfaen"/>
                <w:sz w:val="22"/>
                <w:szCs w:val="22"/>
                <w:lang w:val="fr-FR"/>
              </w:rPr>
              <w:t xml:space="preserve">Կարգի 6-րդ կետում «խնամվող» բառից առաջ լրացնել «այսուհետ`» բառը և դրան համապատասխան ամբողջ տեքստը </w:t>
            </w:r>
            <w:r w:rsidR="005E3430">
              <w:rPr>
                <w:rFonts w:cs="Sylfaen"/>
                <w:sz w:val="22"/>
                <w:szCs w:val="22"/>
                <w:lang w:val="fr-FR"/>
              </w:rPr>
              <w:t>խմբագրե</w:t>
            </w:r>
            <w:r w:rsidR="005E3430">
              <w:rPr>
                <w:rFonts w:cs="Sylfaen"/>
                <w:sz w:val="22"/>
                <w:szCs w:val="22"/>
                <w:lang w:val="hy-AM"/>
              </w:rPr>
              <w:t>լ:</w:t>
            </w:r>
          </w:p>
        </w:tc>
        <w:tc>
          <w:tcPr>
            <w:tcW w:w="3960" w:type="dxa"/>
          </w:tcPr>
          <w:p w:rsidR="000318E5" w:rsidRPr="00835E8B" w:rsidRDefault="00A857FB" w:rsidP="00835E8B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  <w:r w:rsidR="005616C7"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002" w:type="dxa"/>
          </w:tcPr>
          <w:p w:rsidR="000318E5" w:rsidRPr="00835E8B" w:rsidRDefault="00A857FB" w:rsidP="00835E8B">
            <w:pPr>
              <w:pStyle w:val="mechtex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E8B">
              <w:rPr>
                <w:rFonts w:ascii="GHEA Grapalat" w:hAnsi="GHEA Grapalat"/>
                <w:sz w:val="22"/>
                <w:szCs w:val="22"/>
                <w:lang w:val="hy-AM"/>
              </w:rPr>
              <w:t>Նախագծի համապատասխան կետը և դրան համապատասխան Կարգի ամբողջ տեքստը խմբագրվել են:</w:t>
            </w:r>
          </w:p>
        </w:tc>
      </w:tr>
      <w:tr w:rsidR="004572E8" w:rsidRPr="005569BF" w:rsidTr="0041198E">
        <w:tc>
          <w:tcPr>
            <w:tcW w:w="2790" w:type="dxa"/>
          </w:tcPr>
          <w:p w:rsidR="004572E8" w:rsidRPr="00835E8B" w:rsidRDefault="004572E8" w:rsidP="00835E8B">
            <w:pPr>
              <w:spacing w:after="0" w:line="240" w:lineRule="auto"/>
              <w:jc w:val="both"/>
              <w:rPr>
                <w:lang w:val="hy-AM"/>
              </w:rPr>
            </w:pPr>
          </w:p>
        </w:tc>
        <w:tc>
          <w:tcPr>
            <w:tcW w:w="4950" w:type="dxa"/>
          </w:tcPr>
          <w:p w:rsidR="004572E8" w:rsidRPr="004D6895" w:rsidRDefault="004572E8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5.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Կարգի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6-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7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9-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1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>0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 xml:space="preserve"> կետերում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նշված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են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շուրջօրյա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խնամքի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տանը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ներկայացվող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ընդհանուր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պահանջները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(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շուրջօրյա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խնամքի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տանը բնակվող անձանց սենյակների բնակելի մակերեսը, մեկ բնակվողի հաշվարկով քառ. մետրերը և այլն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>)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 xml:space="preserve">, իսկ 12-րդ կետում նշված է, որ 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 xml:space="preserve">ՀՀ կառավարության որոշմամբ կարող են սահմանվել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շ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>ուրջօրյա խնամքի տ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ան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 xml:space="preserve"> գործունեության համար անհրաժեշտ ընդհանուր և բնակելի մակերեսին, անձնակազմին (աշխատողների քանակին և հաստիքներին), նրանց տրամադրվող սննդի չափաքանակին, դրա էներգետիկ արժեքին,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կահույքի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 xml:space="preserve">, հագուստի, սպիտակեղենի, կոշկեղենի, անկողնային և անձնական 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lastRenderedPageBreak/>
              <w:t xml:space="preserve">հիգիենայի պարագաների չափորոշիչներին,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շ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>ուրջօրյա խնամքի տ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ան</w:t>
            </w:r>
            <w:r w:rsidRPr="00835E8B">
              <w:rPr>
                <w:rFonts w:cs="Sylfaen"/>
                <w:sz w:val="22"/>
                <w:szCs w:val="22"/>
                <w:lang w:val="de-DE"/>
              </w:rPr>
              <w:t xml:space="preserve"> անվտանգության ապահովմանը և այլ պայմաններին ներկայացվող պահանջներ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: Նշվածի կապակցությամբ, առաջարկում ենք շուրջօրյա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խնամքի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տանը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ներկայացվող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ընդհանուր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պահանջները կամ սահմանել սույն որոշմամբ կամ 6-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7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9-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1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>0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 xml:space="preserve"> կետերը</w:t>
            </w:r>
            <w:r w:rsidRPr="00835E8B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r w:rsidRPr="00835E8B">
              <w:rPr>
                <w:rFonts w:cs="Sylfaen"/>
                <w:sz w:val="22"/>
                <w:szCs w:val="22"/>
                <w:lang w:val="hy-AM"/>
              </w:rPr>
              <w:t>հանել:</w:t>
            </w:r>
          </w:p>
        </w:tc>
        <w:tc>
          <w:tcPr>
            <w:tcW w:w="3960" w:type="dxa"/>
          </w:tcPr>
          <w:p w:rsidR="004572E8" w:rsidRDefault="004572E8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Չի ընդունվել</w:t>
            </w:r>
            <w:r>
              <w:rPr>
                <w:rFonts w:cs="Sylfaen"/>
                <w:bCs/>
                <w:sz w:val="22"/>
                <w:szCs w:val="22"/>
                <w:lang w:val="hy-AM"/>
              </w:rPr>
              <w:t>:</w:t>
            </w:r>
          </w:p>
          <w:p w:rsidR="004572E8" w:rsidRPr="00835E8B" w:rsidRDefault="004572E8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 xml:space="preserve">Նախագծում տրված են  խնամքի տանը ներկայացվող ընդհանուր պահանջները միայն, իսկ համաձայն ՀՀ կառավարության  2015թ. սեպտեմբերի 25-ի </w:t>
            </w:r>
            <w:r w:rsidRPr="002D2FA9">
              <w:rPr>
                <w:rFonts w:cs="Sylfaen"/>
                <w:bCs/>
                <w:sz w:val="22"/>
                <w:szCs w:val="22"/>
                <w:lang w:val="hy-AM"/>
              </w:rPr>
              <w:t>N 1112</w:t>
            </w:r>
            <w:r w:rsidRPr="00835E8B">
              <w:rPr>
                <w:rFonts w:cs="Sylfaen"/>
                <w:bCs/>
                <w:sz w:val="22"/>
                <w:szCs w:val="22"/>
                <w:lang w:val="hy-AM"/>
              </w:rPr>
              <w:t>-Ն որոշման 6-րդ կետի 1-ին ենթակետով տրված հանձնարարականի, նախատեսվում է մշակել և ՀՀ կառավարության հաստատմանը ներկայացնել տարեց և հաշմանդամություն ունեցող անձանց խնամքի տրամադրման համար անհրաժեշտ նվազագույն չափորոշիչները:</w:t>
            </w:r>
          </w:p>
        </w:tc>
        <w:tc>
          <w:tcPr>
            <w:tcW w:w="3002" w:type="dxa"/>
          </w:tcPr>
          <w:p w:rsidR="004572E8" w:rsidRPr="004D6895" w:rsidRDefault="004572E8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</w:tc>
      </w:tr>
      <w:tr w:rsidR="004572E8" w:rsidRPr="005569BF" w:rsidTr="0041198E">
        <w:tc>
          <w:tcPr>
            <w:tcW w:w="2790" w:type="dxa"/>
          </w:tcPr>
          <w:p w:rsidR="004572E8" w:rsidRPr="004572E8" w:rsidRDefault="004572E8" w:rsidP="00AB3553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  <w:r w:rsidRPr="004572E8">
              <w:rPr>
                <w:sz w:val="22"/>
                <w:szCs w:val="22"/>
                <w:lang w:val="hy-AM"/>
              </w:rPr>
              <w:lastRenderedPageBreak/>
              <w:t>ՀՀ արդարադատության նախարարության 22.10.2015թ. N 01/12955-15</w:t>
            </w:r>
          </w:p>
        </w:tc>
        <w:tc>
          <w:tcPr>
            <w:tcW w:w="4950" w:type="dxa"/>
          </w:tcPr>
          <w:p w:rsidR="004572E8" w:rsidRPr="00181E0B" w:rsidRDefault="00181E0B" w:rsidP="00181E0B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181E0B">
              <w:rPr>
                <w:rFonts w:cs="Sylfaen"/>
                <w:sz w:val="22"/>
                <w:szCs w:val="22"/>
                <w:lang w:val="hy-AM"/>
              </w:rPr>
              <w:t>Ն</w:t>
            </w:r>
            <w:r w:rsidRPr="00181E0B">
              <w:rPr>
                <w:rFonts w:cs="Sylfaen"/>
                <w:sz w:val="22"/>
                <w:szCs w:val="22"/>
                <w:lang w:val="af-ZA"/>
              </w:rPr>
              <w:t>ախագ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>ի</w:t>
            </w:r>
            <w:r w:rsidRPr="00181E0B">
              <w:rPr>
                <w:rFonts w:cs="Sylfaen"/>
                <w:sz w:val="22"/>
                <w:szCs w:val="22"/>
                <w:lang w:val="hy-AM"/>
              </w:rPr>
              <w:t xml:space="preserve">ծը չի համապատասխանում հավասար իրավաբանական ուժ ունեցող իրավական ակտերի դրույթներին, այսպես` Նախագծի 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>հավելվածի</w:t>
            </w:r>
            <w:r w:rsidRPr="00181E0B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181E0B">
              <w:rPr>
                <w:rFonts w:cs="Sylfaen"/>
                <w:sz w:val="22"/>
                <w:szCs w:val="22"/>
                <w:lang w:val="hy-AM"/>
              </w:rPr>
              <w:t>(այ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>սուհետ` հավելված</w:t>
            </w:r>
            <w:r w:rsidRPr="00181E0B">
              <w:rPr>
                <w:rFonts w:cs="Sylfaen"/>
                <w:sz w:val="22"/>
                <w:szCs w:val="22"/>
                <w:lang w:val="hy-AM"/>
              </w:rPr>
              <w:t>)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 xml:space="preserve">  35-րդ կետի 7-րդ ենթակետում և 38-րդ կետում նշված է, որ շուրջօրյա խնամքի տունը կազմակերպում է հիվանդանոցային բժշկական օգնություն և սպասարկում իրականացնող կազմակերպություն ուղեգրման գործընթացը, մինչդեռ Հայաստանի </w:t>
            </w:r>
            <w:r w:rsidR="004572E8" w:rsidRPr="00181E0B">
              <w:rPr>
                <w:rFonts w:cs="Sylfaen"/>
                <w:sz w:val="22"/>
                <w:szCs w:val="22"/>
                <w:lang w:val="hy-AM"/>
              </w:rPr>
              <w:t>Հանրապետության կառավարության 2004 թվականի մարտի 4-ի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 xml:space="preserve"> «Պետության կողմից երաշխավորված անվճար և արտոնյալ պայմաններով բժշկական օգնության և սպասարկման մասին»</w:t>
            </w:r>
            <w:r w:rsidR="004572E8" w:rsidRPr="00181E0B">
              <w:rPr>
                <w:rFonts w:cs="Sylfaen"/>
                <w:sz w:val="22"/>
                <w:szCs w:val="22"/>
                <w:lang w:val="hy-AM"/>
              </w:rPr>
              <w:t xml:space="preserve"> 318-Ն որոշման Հավելված N 7-ի 4-րդ կետով շուրջօրյա խնամքի տները ընդգրկված չեն   հիվանդանոցային բժշկական օգնություն և սպասարկում իրականացնող կազմակերպություն ուղեգիր տրամադրող մարմինների շարքում:</w:t>
            </w:r>
            <w:r w:rsidR="004572E8" w:rsidRPr="00181E0B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960" w:type="dxa"/>
          </w:tcPr>
          <w:p w:rsidR="004572E8" w:rsidRPr="004572E8" w:rsidRDefault="00D140E5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002" w:type="dxa"/>
          </w:tcPr>
          <w:p w:rsidR="004572E8" w:rsidRPr="00D140E5" w:rsidRDefault="00D140E5" w:rsidP="00D140E5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D140E5">
              <w:rPr>
                <w:rFonts w:cs="Sylfaen"/>
                <w:sz w:val="22"/>
                <w:szCs w:val="22"/>
                <w:lang w:val="hy-AM"/>
              </w:rPr>
              <w:t>Նախագծի հավելվածի համապատասխան կետերը խմբագրվել են, մասնավորապես</w:t>
            </w:r>
            <w:r>
              <w:rPr>
                <w:rFonts w:cs="Sylfaen"/>
                <w:sz w:val="22"/>
                <w:szCs w:val="22"/>
                <w:lang w:val="hy-AM"/>
              </w:rPr>
              <w:t>`</w:t>
            </w:r>
            <w:r w:rsidRPr="00D140E5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cs="Sylfaen"/>
                <w:sz w:val="22"/>
                <w:szCs w:val="22"/>
                <w:lang w:val="hy-AM"/>
              </w:rPr>
              <w:t xml:space="preserve">անձին </w:t>
            </w:r>
            <w:r w:rsidRPr="00D140E5">
              <w:rPr>
                <w:rFonts w:cs="Sylfaen"/>
                <w:sz w:val="22"/>
                <w:szCs w:val="22"/>
                <w:lang w:val="af-ZA"/>
              </w:rPr>
              <w:t>հիվանդանոցային բժշկական օգնություն և սպասարկում իրականացնող կազմակերպություն ուղեգրման գործընթացը</w:t>
            </w:r>
            <w:r>
              <w:rPr>
                <w:rFonts w:cs="Sylfaen"/>
                <w:sz w:val="22"/>
                <w:szCs w:val="22"/>
                <w:lang w:val="hy-AM"/>
              </w:rPr>
              <w:t xml:space="preserve"> կազմակերպելու դրույթը փոխարինվել է «աջակցելու» դրույթով:</w:t>
            </w:r>
            <w:r w:rsidRPr="00D140E5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</w:p>
        </w:tc>
      </w:tr>
      <w:tr w:rsidR="004572E8" w:rsidRPr="005569BF" w:rsidTr="0041198E">
        <w:tc>
          <w:tcPr>
            <w:tcW w:w="2790" w:type="dxa"/>
          </w:tcPr>
          <w:p w:rsidR="004572E8" w:rsidRPr="004572E8" w:rsidRDefault="004572E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hy-AM"/>
              </w:rPr>
              <w:t>Նախագծում առկա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են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հստակեցման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խմբագրման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և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լրամշակման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կարիք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ունեցող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lastRenderedPageBreak/>
              <w:t>դրույթներ: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Այսպես՝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 xml:space="preserve">  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bCs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>1) հավելվածի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4-րդ կետում  «ապաինստիտուցիոնալացումը», հավելվածի 54-րդ կետում նշված «շուրջօրյա խնամքի տանը խնամք տրամադրող կազմակերպություն» հասկացությունները հստակեցման կարիք ունեն,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bCs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>2) հավելվածի 8-րդ կետում «հաշմադամություն ունեցող» բառերից հետո լրացնել «հոգեկան առողջության խնդիրներ ունեցող» բառերը: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bCs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3) Հավելվածի 52-րդ կետի 4-րդ ենթակետում նշված պատասխանատվությանը վերաբերող դրույթը հստակեցման կարիք ունի: Նախագծում նշված պատասխանատվությունից պարզ չէ, թե խոսքը միայն քրեական պատասխանատվության մասին է (որպես պատիժ որոշակի ժամկետով ազատազրկումը), թե  նկատի են ունեցվել նաև  բժշկական բնույթի հարկադրանքի միջոցները` նկատի ունենալով այն հանգամանքը, որ </w:t>
            </w:r>
            <w:r w:rsidRPr="004572E8">
              <w:rPr>
                <w:rFonts w:cs="Sylfaen"/>
                <w:sz w:val="22"/>
                <w:szCs w:val="22"/>
              </w:rPr>
              <w:t>անձը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sz w:val="22"/>
                <w:szCs w:val="22"/>
              </w:rPr>
              <w:t>ով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հանցանքը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կատարել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է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մեղսունակության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վիճակում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sz w:val="22"/>
                <w:szCs w:val="22"/>
              </w:rPr>
              <w:t>սակայն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մինչև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դատարանի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կողմից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դատավճիռ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կայացնելը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հիվանդացել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է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հոգեկան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հիվանդությամբ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sz w:val="22"/>
                <w:szCs w:val="22"/>
              </w:rPr>
              <w:t>որը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զրկել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է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նրան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իր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գործողության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(</w:t>
            </w:r>
            <w:r w:rsidRPr="004572E8">
              <w:rPr>
                <w:rFonts w:cs="Sylfaen"/>
                <w:sz w:val="22"/>
                <w:szCs w:val="22"/>
              </w:rPr>
              <w:t>անգործության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) </w:t>
            </w:r>
            <w:r w:rsidRPr="004572E8">
              <w:rPr>
                <w:rFonts w:cs="Sylfaen"/>
                <w:sz w:val="22"/>
                <w:szCs w:val="22"/>
              </w:rPr>
              <w:t>փաստացի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բնույթն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ու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նշանակությունը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գիտակցելու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կամ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 </w:t>
            </w:r>
            <w:r w:rsidRPr="004572E8">
              <w:rPr>
                <w:rFonts w:cs="Sylfaen"/>
                <w:sz w:val="22"/>
                <w:szCs w:val="22"/>
              </w:rPr>
              <w:t>ղեկավարելու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հնարավորությունից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: </w:t>
            </w:r>
            <w:r w:rsidRPr="004572E8">
              <w:rPr>
                <w:rFonts w:cs="Sylfaen"/>
                <w:sz w:val="22"/>
                <w:szCs w:val="22"/>
              </w:rPr>
              <w:t>Այդպիսի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անձի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նկատմամբ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դատարանի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նշանակմամբ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lastRenderedPageBreak/>
              <w:t>կարող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են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կիրառվել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բժշկական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բնույթի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հարկադրանքի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միջոցներ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sz w:val="22"/>
                <w:szCs w:val="22"/>
              </w:rPr>
              <w:t>իսկ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առողջանալուց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հետո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նա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կարող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է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ենթարկվել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պատժի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: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4) Հավելվածի 10-րդ կետի 2-րդ ենթակետում անհրաժեշտ է հստակեցնել, թե որ  «բժշկական սարքավորումների» մասին է խոսքը` նկատի ունենալով Հայստանի Հանրապետության կառավարության 2002 թվականի դեկտեմբերի 5-ի 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«Պ</w:t>
            </w:r>
            <w:r w:rsidRPr="004572E8">
              <w:rPr>
                <w:rFonts w:cs="Sylfaen"/>
                <w:bCs/>
                <w:sz w:val="22"/>
                <w:szCs w:val="22"/>
              </w:rPr>
              <w:t>ոլիկլինիկաների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(</w:t>
            </w:r>
            <w:r w:rsidRPr="004572E8">
              <w:rPr>
                <w:rFonts w:cs="Sylfaen"/>
                <w:bCs/>
                <w:sz w:val="22"/>
                <w:szCs w:val="22"/>
              </w:rPr>
              <w:t>խառը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մեծահասակների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եվ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մանկական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), </w:t>
            </w:r>
            <w:r w:rsidRPr="004572E8">
              <w:rPr>
                <w:rFonts w:cs="Sylfaen"/>
                <w:bCs/>
                <w:sz w:val="22"/>
                <w:szCs w:val="22"/>
              </w:rPr>
              <w:t>առանձին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մասնագիտացված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կաբինետների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ընտանեկան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բժշկի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գրասենյակների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բժշկական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ամբուլատորիաների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գյուղական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առողջության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կենտրոնների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բուժակ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>-</w:t>
            </w:r>
            <w:r w:rsidRPr="004572E8">
              <w:rPr>
                <w:rFonts w:cs="Sylfaen"/>
                <w:bCs/>
                <w:sz w:val="22"/>
                <w:szCs w:val="22"/>
              </w:rPr>
              <w:t>մանկաբարձական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կետերի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, </w:t>
            </w:r>
            <w:r w:rsidRPr="004572E8">
              <w:rPr>
                <w:rFonts w:cs="Sylfaen"/>
                <w:bCs/>
                <w:sz w:val="22"/>
                <w:szCs w:val="22"/>
              </w:rPr>
              <w:t>կանանց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կոնսուլտացիաների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եվ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հիվանդանոցային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(</w:t>
            </w:r>
            <w:r w:rsidRPr="004572E8">
              <w:rPr>
                <w:rFonts w:cs="Sylfaen"/>
                <w:bCs/>
                <w:sz w:val="22"/>
                <w:szCs w:val="22"/>
              </w:rPr>
              <w:t>մասնագիտացված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) </w:t>
            </w:r>
            <w:r w:rsidRPr="004572E8">
              <w:rPr>
                <w:rFonts w:cs="Sylfaen"/>
                <w:bCs/>
                <w:sz w:val="22"/>
                <w:szCs w:val="22"/>
              </w:rPr>
              <w:t>բժշկական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օգնության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ու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սպասարկման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համար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անհրաժեշտ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տեխնիկական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եվ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մասնագիտական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որակավորման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պահանջներն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ու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պայմանները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հաստատելու</w:t>
            </w:r>
            <w:r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bCs/>
                <w:sz w:val="22"/>
                <w:szCs w:val="22"/>
              </w:rPr>
              <w:t>մասին</w:t>
            </w:r>
            <w:r w:rsidRPr="004572E8">
              <w:rPr>
                <w:rFonts w:cs="Sylfaen"/>
                <w:b/>
                <w:bCs/>
                <w:sz w:val="22"/>
                <w:szCs w:val="22"/>
                <w:lang w:val="af-ZA"/>
              </w:rPr>
              <w:t xml:space="preserve">» 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N 1936-</w:t>
            </w:r>
            <w:r w:rsidRPr="004572E8">
              <w:rPr>
                <w:rFonts w:cs="Sylfaen"/>
                <w:sz w:val="22"/>
                <w:szCs w:val="22"/>
              </w:rPr>
              <w:t>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որոշման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պահանջները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: Այդ առումով հիշյալ կետում անհրաժեշտ է հղում կատարել Հայաստանի Հանրապետության կառավարության նշված որոշմանը` համաձայն «Իրավական ակտերի մասին» Հայաստանի Հանրապետության օրենքի 43-րդ հոդվածի պահանջների: </w:t>
            </w:r>
          </w:p>
          <w:p w:rsidR="004572E8" w:rsidRPr="007A3FBC" w:rsidRDefault="0041198E" w:rsidP="00B84263">
            <w:pPr>
              <w:spacing w:line="240" w:lineRule="auto"/>
              <w:contextualSpacing/>
              <w:jc w:val="both"/>
              <w:rPr>
                <w:rFonts w:cs="Sylfaen"/>
                <w:bCs/>
                <w:sz w:val="22"/>
                <w:szCs w:val="22"/>
                <w:lang w:val="af-ZA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5</w:t>
            </w:r>
            <w:r w:rsidR="004572E8" w:rsidRPr="004572E8">
              <w:rPr>
                <w:rFonts w:cs="Sylfaen"/>
                <w:bCs/>
                <w:sz w:val="22"/>
                <w:szCs w:val="22"/>
                <w:lang w:val="af-ZA"/>
              </w:rPr>
              <w:t xml:space="preserve">) Հավելվածի 51-րդ կետում «անհատական» բառը  փոխարինել «անձնական» բառով` նկատի ունենալով «Անձնական տվյալների </w:t>
            </w:r>
            <w:r w:rsidR="004572E8" w:rsidRPr="004572E8">
              <w:rPr>
                <w:rFonts w:cs="Sylfaen"/>
                <w:bCs/>
                <w:sz w:val="22"/>
                <w:szCs w:val="22"/>
                <w:lang w:val="af-ZA"/>
              </w:rPr>
              <w:lastRenderedPageBreak/>
              <w:t xml:space="preserve">պաշտպանության մասին» Հայաստանի Հանրապետության օրենքի պահանջները: </w:t>
            </w:r>
            <w:r w:rsidR="004572E8" w:rsidRPr="004572E8">
              <w:rPr>
                <w:rFonts w:cs="Sylfaen"/>
                <w:sz w:val="22"/>
                <w:szCs w:val="22"/>
                <w:lang w:val="af-ZA"/>
              </w:rPr>
              <w:t>Նկատի ունենալով հիշյալ օրենքի դրույթները` նշված կետում անհրաժեշտ է նախատեսել դրույթներ, որոնց համաձայն համապատասխան անձանց վերաբերող տեղեկատվական շտեմարանը պետք է վարել` ապահովելով նշված օրենքով ամրագրված անձնական տվյալների պաշտպանությանը վերաբերող պահանջները:</w:t>
            </w:r>
          </w:p>
        </w:tc>
        <w:tc>
          <w:tcPr>
            <w:tcW w:w="3960" w:type="dxa"/>
          </w:tcPr>
          <w:p w:rsidR="004572E8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1.</w:t>
            </w:r>
            <w:r w:rsidR="00D140E5" w:rsidRPr="00D140E5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F97733" w:rsidRDefault="00F97733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F97733" w:rsidRDefault="00F97733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2.Ընդունվել է</w:t>
            </w: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DB6893" w:rsidRDefault="00DB6893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3.</w:t>
            </w:r>
            <w:r w:rsidR="00F97733">
              <w:rPr>
                <w:rFonts w:cs="Sylfaen"/>
                <w:bCs/>
                <w:sz w:val="22"/>
                <w:szCs w:val="22"/>
                <w:lang w:val="hy-AM"/>
              </w:rPr>
              <w:t>Ընդունվել է</w:t>
            </w: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4. Ընդունվել է</w:t>
            </w: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41198E" w:rsidRPr="0041198E" w:rsidRDefault="0041198E" w:rsidP="00D140E5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5</w:t>
            </w:r>
            <w:r w:rsidRPr="00F97733">
              <w:rPr>
                <w:rFonts w:cs="Sylfaen"/>
                <w:bCs/>
                <w:sz w:val="22"/>
                <w:szCs w:val="22"/>
                <w:lang w:val="hy-AM"/>
              </w:rPr>
              <w:t>)</w:t>
            </w:r>
            <w:r>
              <w:rPr>
                <w:rFonts w:cs="Sylfaen"/>
                <w:bCs/>
                <w:sz w:val="22"/>
                <w:szCs w:val="22"/>
                <w:lang w:val="hy-AM"/>
              </w:rPr>
              <w:t xml:space="preserve"> Ընդունվել է</w:t>
            </w:r>
          </w:p>
        </w:tc>
        <w:tc>
          <w:tcPr>
            <w:tcW w:w="3002" w:type="dxa"/>
          </w:tcPr>
          <w:p w:rsidR="004572E8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lastRenderedPageBreak/>
              <w:t>1.</w:t>
            </w:r>
            <w:r w:rsidR="00D140E5" w:rsidRPr="0041198E">
              <w:rPr>
                <w:rFonts w:cs="Sylfaen"/>
                <w:sz w:val="22"/>
                <w:szCs w:val="22"/>
                <w:lang w:val="hy-AM"/>
              </w:rPr>
              <w:t>Նախագծի հավելվածի համապատասխան</w:t>
            </w:r>
            <w:r w:rsidRPr="0041198E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  <w:r w:rsidRPr="0041198E">
              <w:rPr>
                <w:rFonts w:cs="Sylfaen"/>
                <w:sz w:val="22"/>
                <w:szCs w:val="22"/>
                <w:lang w:val="hy-AM"/>
              </w:rPr>
              <w:lastRenderedPageBreak/>
              <w:t xml:space="preserve">կետերից հանվել են </w:t>
            </w:r>
            <w:r w:rsidRPr="0041198E">
              <w:rPr>
                <w:rFonts w:cs="Sylfaen"/>
                <w:bCs/>
                <w:sz w:val="22"/>
                <w:szCs w:val="22"/>
                <w:lang w:val="af-ZA"/>
              </w:rPr>
              <w:t>«ապաինստիտուցիոնալացում</w:t>
            </w:r>
            <w:r w:rsidRPr="0041198E">
              <w:rPr>
                <w:bCs/>
                <w:sz w:val="22"/>
                <w:szCs w:val="22"/>
                <w:lang w:val="af-ZA"/>
              </w:rPr>
              <w:t>»</w:t>
            </w:r>
            <w:r w:rsidRPr="0041198E">
              <w:rPr>
                <w:rFonts w:cs="Sylfaen"/>
                <w:bCs/>
                <w:sz w:val="22"/>
                <w:szCs w:val="22"/>
                <w:lang w:val="hy-AM"/>
              </w:rPr>
              <w:t xml:space="preserve"> և</w:t>
            </w:r>
            <w:r w:rsidRPr="0041198E">
              <w:rPr>
                <w:rFonts w:cs="Sylfaen"/>
                <w:bCs/>
                <w:sz w:val="22"/>
                <w:szCs w:val="22"/>
                <w:lang w:val="af-ZA"/>
              </w:rPr>
              <w:t xml:space="preserve"> </w:t>
            </w:r>
            <w:r w:rsidRPr="0041198E">
              <w:rPr>
                <w:bCs/>
                <w:sz w:val="22"/>
                <w:szCs w:val="22"/>
                <w:lang w:val="af-ZA"/>
              </w:rPr>
              <w:t>«</w:t>
            </w:r>
            <w:r w:rsidRPr="0041198E">
              <w:rPr>
                <w:rFonts w:cs="Sylfaen"/>
                <w:bCs/>
                <w:sz w:val="22"/>
                <w:szCs w:val="22"/>
                <w:lang w:val="af-ZA"/>
              </w:rPr>
              <w:t>շուրջօրյա խնամքի տ</w:t>
            </w:r>
            <w:r w:rsidR="00F97733">
              <w:rPr>
                <w:rFonts w:cs="Sylfaen"/>
                <w:bCs/>
                <w:sz w:val="22"/>
                <w:szCs w:val="22"/>
                <w:lang w:val="hy-AM"/>
              </w:rPr>
              <w:t>ուն</w:t>
            </w:r>
            <w:r w:rsidRPr="0041198E">
              <w:rPr>
                <w:bCs/>
                <w:sz w:val="22"/>
                <w:szCs w:val="22"/>
                <w:lang w:val="af-ZA"/>
              </w:rPr>
              <w:t>»</w:t>
            </w:r>
            <w:r w:rsidRPr="0041198E">
              <w:rPr>
                <w:bCs/>
                <w:sz w:val="22"/>
                <w:szCs w:val="22"/>
                <w:lang w:val="hy-AM"/>
              </w:rPr>
              <w:t xml:space="preserve"> բառերը,</w:t>
            </w:r>
            <w:r w:rsidR="00F97733">
              <w:rPr>
                <w:bCs/>
                <w:sz w:val="22"/>
                <w:szCs w:val="22"/>
                <w:lang w:val="hy-AM"/>
              </w:rPr>
              <w:t xml:space="preserve"> վերջին դեպքում թողնվել է «խնամք տրամադրող կազմակերպություն» հասկացությունը, քանի որ օրենսդրությամբ անձի խնամակալ կարող է ճանաչվել կազմակերպությունը:</w:t>
            </w: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  <w:r>
              <w:rPr>
                <w:bCs/>
                <w:sz w:val="22"/>
                <w:szCs w:val="22"/>
                <w:lang w:val="hy-AM"/>
              </w:rPr>
              <w:t>2.Նախագծի հավելվածի համապատասխան կետը խմբագրվել է:</w:t>
            </w: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  <w:r>
              <w:rPr>
                <w:bCs/>
                <w:sz w:val="22"/>
                <w:szCs w:val="22"/>
                <w:lang w:val="hy-AM"/>
              </w:rPr>
              <w:t>3.</w:t>
            </w:r>
            <w:r w:rsidR="00F97733">
              <w:rPr>
                <w:bCs/>
                <w:sz w:val="22"/>
                <w:szCs w:val="22"/>
                <w:lang w:val="hy-AM"/>
              </w:rPr>
              <w:t>Նախագծի հավելվածի համապատասխան կետը խմբագրվել է, հստակեցվել է, թե որ դեպքում է ՀԱԽՈՒ անձը դուրս գրվում Խնամքի տնից:</w:t>
            </w: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1198E">
              <w:rPr>
                <w:bCs/>
                <w:sz w:val="22"/>
                <w:szCs w:val="22"/>
                <w:lang w:val="hy-AM"/>
              </w:rPr>
              <w:t>4.</w:t>
            </w:r>
            <w:r>
              <w:rPr>
                <w:bCs/>
                <w:sz w:val="22"/>
                <w:szCs w:val="22"/>
                <w:lang w:val="hy-AM"/>
              </w:rPr>
              <w:t>Նախագծի հավելվածի համապատասխան կ</w:t>
            </w:r>
            <w:r w:rsidRPr="0041198E">
              <w:rPr>
                <w:bCs/>
                <w:sz w:val="22"/>
                <w:szCs w:val="22"/>
                <w:lang w:val="hy-AM"/>
              </w:rPr>
              <w:t xml:space="preserve">ետը խմբագրվել է, հղում է կատարվել </w:t>
            </w:r>
            <w:r w:rsidRPr="0041198E">
              <w:rPr>
                <w:rFonts w:cs="Sylfaen"/>
                <w:bCs/>
                <w:sz w:val="22"/>
                <w:szCs w:val="22"/>
                <w:lang w:val="af-ZA"/>
              </w:rPr>
              <w:t>Հայստանի Հանրապետության կառավարության 2002 թվականի դեկտեմբերի 5-ի</w:t>
            </w:r>
            <w:r w:rsidRPr="0041198E">
              <w:rPr>
                <w:rFonts w:cs="Sylfaen"/>
                <w:bCs/>
                <w:sz w:val="22"/>
                <w:szCs w:val="22"/>
                <w:lang w:val="hy-AM"/>
              </w:rPr>
              <w:t xml:space="preserve"> </w:t>
            </w:r>
            <w:r w:rsidRPr="0041198E">
              <w:rPr>
                <w:rFonts w:cs="Sylfaen"/>
                <w:sz w:val="22"/>
                <w:szCs w:val="22"/>
                <w:lang w:val="af-ZA"/>
              </w:rPr>
              <w:t>N 1936-</w:t>
            </w:r>
            <w:r w:rsidRPr="0041198E">
              <w:rPr>
                <w:rFonts w:cs="Sylfaen"/>
                <w:sz w:val="22"/>
                <w:szCs w:val="22"/>
                <w:lang w:val="hy-AM"/>
              </w:rPr>
              <w:t>Ն</w:t>
            </w:r>
            <w:r w:rsidRPr="0041198E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1198E">
              <w:rPr>
                <w:rFonts w:cs="Sylfaen"/>
                <w:sz w:val="22"/>
                <w:szCs w:val="22"/>
                <w:lang w:val="hy-AM"/>
              </w:rPr>
              <w:t>որոշմանը:</w:t>
            </w: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41198E" w:rsidRP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 xml:space="preserve">5.Նախագծի հավելվածի համապատասխան կետը խմբագրվել է, հղում է կատարվել «Անձնական </w:t>
            </w:r>
            <w:r>
              <w:rPr>
                <w:rFonts w:cs="Sylfaen"/>
                <w:sz w:val="22"/>
                <w:szCs w:val="22"/>
                <w:lang w:val="hy-AM"/>
              </w:rPr>
              <w:lastRenderedPageBreak/>
              <w:t>տվյալների պաշտպանության  մասին» ՀՀ օրենքին:</w:t>
            </w:r>
          </w:p>
          <w:p w:rsidR="0041198E" w:rsidRPr="0041198E" w:rsidRDefault="0041198E" w:rsidP="0041198E">
            <w:pPr>
              <w:spacing w:line="240" w:lineRule="auto"/>
              <w:contextualSpacing/>
              <w:jc w:val="both"/>
              <w:rPr>
                <w:bCs/>
                <w:sz w:val="22"/>
                <w:szCs w:val="22"/>
                <w:lang w:val="hy-AM"/>
              </w:rPr>
            </w:pPr>
          </w:p>
          <w:p w:rsidR="0041198E" w:rsidRPr="0041198E" w:rsidRDefault="0041198E" w:rsidP="0041198E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</w:tc>
      </w:tr>
      <w:tr w:rsidR="004572E8" w:rsidRPr="005569BF" w:rsidTr="0041198E">
        <w:tc>
          <w:tcPr>
            <w:tcW w:w="2790" w:type="dxa"/>
          </w:tcPr>
          <w:p w:rsidR="004572E8" w:rsidRPr="004572E8" w:rsidRDefault="004572E8" w:rsidP="00835E8B">
            <w:pPr>
              <w:spacing w:after="0" w:line="240" w:lineRule="auto"/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4950" w:type="dxa"/>
          </w:tcPr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Օրենսդրական տեխնիկայի կանոնները  մասամբ պահպանված չեն:  Այսպես` 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>1)   նկատի ունենալով «Իրավական ակտերի մասին» Հայաստանի Հանրապետության օրենքի 43-րդ հոդվածի  պահանջները, համաձայն որոնց` ավելի բարձր իրավաբանական ուժ ունեցող իրավական ակտերում չպետք է հղում կատարվի ավելի ցածր իրավաբանական ուժ ունեցող իրավական ակտերին, այլ նշվում է միայն դրանց տեսակների այն խումբը, որով կարգավորվում են կամ պետք է կարգավորվեն քննարկվող հարաբերությունները` հավելվածի 5-րդ կետից անհրաժեշտ է հանել բոլոր հիշատակվող հրամաններին կատարվող հղումները: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2) Հավելվածի 2-րդ, 18-րդ  կետերում կատարված հղումից պարզ չէ,  թե Հայաստանի Հանրապետության կառավարության որ որոշման մասին է խոսքը` նկատի ունենալով «Իրավական ակտերի 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lastRenderedPageBreak/>
              <w:t>մասին» Հայաստանի Հանրապետության օրենքի 43-րդ հոդվածի 3-րդ մասի պահանջները: Հարկ է նշել նաև, որ «Իրավական ակտերի մասին» Հայաստանի Հանրապետության օրենքի 43-րդ հոդվածի 6-րդ  մասի համաձայն արգելվում է հղում կատարել դեռևս ուժի մեջ չմտած իրավական ակտերին:</w:t>
            </w:r>
          </w:p>
          <w:p w:rsidR="004572E8" w:rsidRPr="004572E8" w:rsidRDefault="004572E8" w:rsidP="004572E8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af-ZA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3) Նախագծի նախաբանն անհրաժեշտ է խմբագրել` նկատի ունենալով «Իրավական ակտերի մասին» Հայաստանի Հանրապետության օրենքի 43-րդ հոդվածի 4-րդ մասի պահանջները, մասնավորապես` անհրաժեշտ է հղում կատարել այն հիմնական ակտերին, որով Հայաստանի Հանրապետության կառավարությունը լիազորվել է ընդունելու հիշյալ նախագիծը, խոսքը վերաբերում է Հայաստանի Հանրապետության կառավարության 2015 թվականի հունվարի 15-ի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N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111-</w:t>
            </w:r>
            <w:r w:rsidRPr="004572E8">
              <w:rPr>
                <w:rFonts w:cs="Sylfaen"/>
                <w:sz w:val="22"/>
                <w:szCs w:val="22"/>
              </w:rPr>
              <w:t>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որոշման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  <w:lang w:val="hy-AM"/>
              </w:rPr>
              <w:t>N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1 </w:t>
            </w:r>
            <w:r w:rsidRPr="004572E8">
              <w:rPr>
                <w:rFonts w:cs="Sylfaen"/>
                <w:sz w:val="22"/>
                <w:szCs w:val="22"/>
              </w:rPr>
              <w:t>հավելվածի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95-</w:t>
            </w:r>
            <w:r w:rsidRPr="004572E8">
              <w:rPr>
                <w:rFonts w:cs="Sylfaen"/>
                <w:sz w:val="22"/>
                <w:szCs w:val="22"/>
              </w:rPr>
              <w:t>րդ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4572E8">
              <w:rPr>
                <w:rFonts w:cs="Sylfaen"/>
                <w:sz w:val="22"/>
                <w:szCs w:val="22"/>
              </w:rPr>
              <w:t>կետին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>:</w:t>
            </w:r>
          </w:p>
          <w:p w:rsidR="004572E8" w:rsidRPr="00181E0B" w:rsidRDefault="004572E8" w:rsidP="00903FC6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4) Հավելվածի 24-րդ կետով նախատեսված է, որ շուրջօրյա խնամքի տան` համապատասխան լիազորություններով օժտված աշխատողը կամ պաշտոնատար </w:t>
            </w:r>
            <w:r w:rsidR="00181E0B">
              <w:rPr>
                <w:rFonts w:cs="Sylfaen"/>
                <w:sz w:val="22"/>
                <w:szCs w:val="22"/>
                <w:lang w:val="af-ZA"/>
              </w:rPr>
              <w:t>անձ</w:t>
            </w:r>
            <w:r w:rsidR="00181E0B">
              <w:rPr>
                <w:rFonts w:cs="Sylfaen"/>
                <w:sz w:val="22"/>
                <w:szCs w:val="22"/>
                <w:lang w:val="hy-AM"/>
              </w:rPr>
              <w:t>ը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t xml:space="preserve"> վերոնշյալ կետով նշված առարկաների հայտնաբերման դեպքում անմիջապես իրազեկում է Հայաստանի Հանրապետության կառավարությանն առընթեր Հայաստանի Հանրապետության ոստիկանությանը: Այս առումով պարզ չէ, թե ինչ իրավական </w:t>
            </w:r>
            <w:r w:rsidRPr="004572E8">
              <w:rPr>
                <w:rFonts w:cs="Sylfaen"/>
                <w:sz w:val="22"/>
                <w:szCs w:val="22"/>
                <w:lang w:val="af-ZA"/>
              </w:rPr>
              <w:lastRenderedPageBreak/>
              <w:t xml:space="preserve">հետևանքներ կառաջանան, եթե հիշյալ աշխատողը չի տեղեկացնում Հայաստանի Հանրապետության կառավարությանն առընթեր Հայաստանի Հանրապետության ոստիկանությանը վերոհիշյալ դեպքերում` նկատի ունենալով «Իրավական ակտերի մասին» Հայաստանի Հանրապետության օրենքի 45-րդ հոդվածի 3-րդ մասի պահանջները: </w:t>
            </w:r>
          </w:p>
        </w:tc>
        <w:tc>
          <w:tcPr>
            <w:tcW w:w="3960" w:type="dxa"/>
          </w:tcPr>
          <w:p w:rsidR="004572E8" w:rsidRDefault="0041198E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lastRenderedPageBreak/>
              <w:t>1.Ընդունվել է</w:t>
            </w: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F97733" w:rsidRDefault="00F9773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2. Ընդունվել է ի գիտություն</w:t>
            </w: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3.Ընդունվել է</w:t>
            </w: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</w:p>
          <w:p w:rsidR="000E75D9" w:rsidRPr="004572E8" w:rsidRDefault="000E75D9" w:rsidP="00B84263">
            <w:pPr>
              <w:spacing w:after="0" w:line="240" w:lineRule="auto"/>
              <w:jc w:val="both"/>
              <w:rPr>
                <w:rFonts w:cs="Sylfaen"/>
                <w:bCs/>
                <w:sz w:val="22"/>
                <w:szCs w:val="22"/>
                <w:lang w:val="hy-AM"/>
              </w:rPr>
            </w:pPr>
            <w:r>
              <w:rPr>
                <w:rFonts w:cs="Sylfaen"/>
                <w:bCs/>
                <w:sz w:val="22"/>
                <w:szCs w:val="22"/>
                <w:lang w:val="hy-AM"/>
              </w:rPr>
              <w:t>4.Ընդունվել է</w:t>
            </w:r>
            <w:r w:rsidR="00F97733">
              <w:rPr>
                <w:rFonts w:cs="Sylfaen"/>
                <w:bCs/>
                <w:sz w:val="22"/>
                <w:szCs w:val="22"/>
                <w:lang w:val="hy-AM"/>
              </w:rPr>
              <w:t xml:space="preserve"> ի գիտություն</w:t>
            </w:r>
          </w:p>
        </w:tc>
        <w:tc>
          <w:tcPr>
            <w:tcW w:w="3002" w:type="dxa"/>
          </w:tcPr>
          <w:p w:rsidR="004572E8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lastRenderedPageBreak/>
              <w:t>1.Նախագծի հավելվածի համապատասխան կետը խմբագրվել է, հրամանի փոխարեն հղում է արվել ՀՀ  կառավարության որոշմանը:</w:t>
            </w: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B8426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E3049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E30493" w:rsidRDefault="00E30493" w:rsidP="00E3049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 xml:space="preserve">2.Նախագծում հղում է արվել ՀՀ կառավարության 2015թ. սեպտեմբերի 25-ի </w:t>
            </w:r>
            <w:r w:rsidRPr="00E30493">
              <w:rPr>
                <w:rFonts w:cs="Sylfaen"/>
                <w:sz w:val="22"/>
                <w:szCs w:val="22"/>
                <w:lang w:val="hy-AM"/>
              </w:rPr>
              <w:t>N</w:t>
            </w:r>
            <w:r>
              <w:rPr>
                <w:rFonts w:cs="Sylfaen"/>
                <w:sz w:val="22"/>
                <w:szCs w:val="22"/>
                <w:lang w:val="hy-AM"/>
              </w:rPr>
              <w:t xml:space="preserve">1112-Նրոշմանը, որը Նախագիծը ՀՀ արդարադատության </w:t>
            </w:r>
            <w:r>
              <w:rPr>
                <w:rFonts w:cs="Sylfaen"/>
                <w:sz w:val="22"/>
                <w:szCs w:val="22"/>
                <w:lang w:val="hy-AM"/>
              </w:rPr>
              <w:lastRenderedPageBreak/>
              <w:t>նախարարություն ուղարկելու ժամանակ դեռևս ընդունված չէր, դրանով էր պայմանավորված, որ որոշման համարը գրված չի եղել:</w:t>
            </w:r>
          </w:p>
          <w:p w:rsidR="00F97733" w:rsidRDefault="00F97733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0E75D9">
              <w:rPr>
                <w:rFonts w:cs="Sylfaen"/>
                <w:sz w:val="22"/>
                <w:szCs w:val="22"/>
                <w:lang w:val="hy-AM"/>
              </w:rPr>
              <w:t xml:space="preserve">3.Նախագծի նախաբանում հղում է կատարվել 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Հայաստանի Հանրապետության կառավարության 2015 թվականի հունվարի 15-ի 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N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>111-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Ն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որոշման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N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1 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հավելվածի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 95-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րդ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0E75D9">
              <w:rPr>
                <w:rFonts w:cs="Sylfaen"/>
                <w:sz w:val="22"/>
                <w:szCs w:val="22"/>
                <w:lang w:val="hy-AM"/>
              </w:rPr>
              <w:t>կետին</w:t>
            </w:r>
            <w:r w:rsidRPr="000E75D9">
              <w:rPr>
                <w:rFonts w:cs="Sylfaen"/>
                <w:sz w:val="22"/>
                <w:szCs w:val="22"/>
                <w:lang w:val="af-ZA"/>
              </w:rPr>
              <w:t>:</w:t>
            </w: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Default="000E75D9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  <w:p w:rsidR="000E75D9" w:rsidRPr="000E75D9" w:rsidRDefault="007A3FBC" w:rsidP="000E75D9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4.Ս</w:t>
            </w:r>
            <w:r w:rsidR="00F97733">
              <w:rPr>
                <w:rFonts w:cs="Sylfaen"/>
                <w:sz w:val="22"/>
                <w:szCs w:val="22"/>
                <w:lang w:val="hy-AM"/>
              </w:rPr>
              <w:t xml:space="preserve">ույն նորմատիվ-իրավական ակտը ենթակա է պարտադիր կատարման, ուստի համապատասխան աշխատողի կողմից այն չկատարելու դեպքում  նրա նկատմամբ կկիրառվեն աշխատանքային օրենսդրությամբ սահմանված </w:t>
            </w:r>
            <w:r w:rsidR="00F97733">
              <w:rPr>
                <w:rFonts w:cs="Sylfaen"/>
                <w:sz w:val="22"/>
                <w:szCs w:val="22"/>
                <w:lang w:val="hy-AM"/>
              </w:rPr>
              <w:lastRenderedPageBreak/>
              <w:t>կարգապահական տույ</w:t>
            </w:r>
            <w:r>
              <w:rPr>
                <w:rFonts w:cs="Sylfaen"/>
                <w:sz w:val="22"/>
                <w:szCs w:val="22"/>
                <w:lang w:val="hy-AM"/>
              </w:rPr>
              <w:t>ժեր:</w:t>
            </w:r>
          </w:p>
          <w:p w:rsidR="000E75D9" w:rsidRPr="00E30493" w:rsidRDefault="000E75D9" w:rsidP="00E30493">
            <w:pPr>
              <w:spacing w:line="240" w:lineRule="auto"/>
              <w:contextualSpacing/>
              <w:jc w:val="both"/>
              <w:rPr>
                <w:rFonts w:cs="Sylfaen"/>
                <w:sz w:val="22"/>
                <w:szCs w:val="22"/>
                <w:lang w:val="hy-AM"/>
              </w:rPr>
            </w:pPr>
          </w:p>
        </w:tc>
      </w:tr>
    </w:tbl>
    <w:p w:rsidR="00615935" w:rsidRPr="004572E8" w:rsidRDefault="00615935" w:rsidP="00835E8B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5935" w:rsidRPr="004572E8" w:rsidRDefault="00615935" w:rsidP="00835E8B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sectPr w:rsidR="00615935" w:rsidRPr="004572E8" w:rsidSect="00615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A44"/>
    <w:multiLevelType w:val="hybridMultilevel"/>
    <w:tmpl w:val="E1BA45B0"/>
    <w:lvl w:ilvl="0" w:tplc="A82C20FC">
      <w:start w:val="1"/>
      <w:numFmt w:val="decimal"/>
      <w:lvlText w:val="%1."/>
      <w:lvlJc w:val="left"/>
      <w:pPr>
        <w:ind w:left="99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>
    <w:nsid w:val="110A6409"/>
    <w:multiLevelType w:val="hybridMultilevel"/>
    <w:tmpl w:val="BA7E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11B5"/>
    <w:multiLevelType w:val="hybridMultilevel"/>
    <w:tmpl w:val="0602C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31BE"/>
    <w:multiLevelType w:val="hybridMultilevel"/>
    <w:tmpl w:val="5514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776A4"/>
    <w:multiLevelType w:val="hybridMultilevel"/>
    <w:tmpl w:val="8E6096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53"/>
    <w:rsid w:val="000302CA"/>
    <w:rsid w:val="000318E5"/>
    <w:rsid w:val="000802EC"/>
    <w:rsid w:val="000A6F44"/>
    <w:rsid w:val="000E75D9"/>
    <w:rsid w:val="00181E0B"/>
    <w:rsid w:val="00190373"/>
    <w:rsid w:val="00203ABE"/>
    <w:rsid w:val="002474D6"/>
    <w:rsid w:val="00274406"/>
    <w:rsid w:val="00286E41"/>
    <w:rsid w:val="002B27F3"/>
    <w:rsid w:val="002D2FA9"/>
    <w:rsid w:val="002F14CF"/>
    <w:rsid w:val="003075E8"/>
    <w:rsid w:val="003E32B2"/>
    <w:rsid w:val="0041198E"/>
    <w:rsid w:val="00411D12"/>
    <w:rsid w:val="004572E8"/>
    <w:rsid w:val="00457859"/>
    <w:rsid w:val="004D6895"/>
    <w:rsid w:val="00520DB8"/>
    <w:rsid w:val="005569BF"/>
    <w:rsid w:val="005616C7"/>
    <w:rsid w:val="005E3430"/>
    <w:rsid w:val="00615935"/>
    <w:rsid w:val="00622144"/>
    <w:rsid w:val="00640B7F"/>
    <w:rsid w:val="0067073F"/>
    <w:rsid w:val="006A092B"/>
    <w:rsid w:val="006F09D9"/>
    <w:rsid w:val="007155ED"/>
    <w:rsid w:val="00784790"/>
    <w:rsid w:val="007A3FBC"/>
    <w:rsid w:val="007B5DFB"/>
    <w:rsid w:val="008022A3"/>
    <w:rsid w:val="00835E8B"/>
    <w:rsid w:val="008F10BC"/>
    <w:rsid w:val="00903FC6"/>
    <w:rsid w:val="00911D66"/>
    <w:rsid w:val="00913406"/>
    <w:rsid w:val="009577CC"/>
    <w:rsid w:val="009A5A34"/>
    <w:rsid w:val="009A66B2"/>
    <w:rsid w:val="009C3D83"/>
    <w:rsid w:val="009E1135"/>
    <w:rsid w:val="009E3C99"/>
    <w:rsid w:val="00A201D4"/>
    <w:rsid w:val="00A24FC3"/>
    <w:rsid w:val="00A31953"/>
    <w:rsid w:val="00A4251E"/>
    <w:rsid w:val="00A7180D"/>
    <w:rsid w:val="00A857FB"/>
    <w:rsid w:val="00AE0E48"/>
    <w:rsid w:val="00AF2D25"/>
    <w:rsid w:val="00B46386"/>
    <w:rsid w:val="00B516C7"/>
    <w:rsid w:val="00B95BF7"/>
    <w:rsid w:val="00C37695"/>
    <w:rsid w:val="00C90DD6"/>
    <w:rsid w:val="00CF4305"/>
    <w:rsid w:val="00D140E5"/>
    <w:rsid w:val="00DB6893"/>
    <w:rsid w:val="00E03DEC"/>
    <w:rsid w:val="00E11545"/>
    <w:rsid w:val="00E30493"/>
    <w:rsid w:val="00E529D2"/>
    <w:rsid w:val="00EA1B28"/>
    <w:rsid w:val="00EE3867"/>
    <w:rsid w:val="00F90055"/>
    <w:rsid w:val="00F97733"/>
    <w:rsid w:val="00F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5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7859"/>
    <w:pPr>
      <w:ind w:left="720"/>
    </w:pPr>
  </w:style>
  <w:style w:type="character" w:styleId="Strong">
    <w:name w:val="Strong"/>
    <w:basedOn w:val="DefaultParagraphFont"/>
    <w:uiPriority w:val="22"/>
    <w:qFormat/>
    <w:locked/>
    <w:rsid w:val="00615935"/>
    <w:rPr>
      <w:b/>
      <w:bCs/>
    </w:rPr>
  </w:style>
  <w:style w:type="paragraph" w:customStyle="1" w:styleId="mechtex">
    <w:name w:val="mechtex"/>
    <w:basedOn w:val="Normal"/>
    <w:link w:val="mechtexChar"/>
    <w:rsid w:val="00615935"/>
    <w:pPr>
      <w:spacing w:after="0" w:line="240" w:lineRule="auto"/>
      <w:jc w:val="center"/>
    </w:pPr>
    <w:rPr>
      <w:rFonts w:ascii="Arial Armeni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15935"/>
    <w:rPr>
      <w:rFonts w:ascii="Arial Armenian" w:hAnsi="Arial Armenian"/>
      <w:szCs w:val="20"/>
      <w:lang w:eastAsia="ru-RU"/>
    </w:rPr>
  </w:style>
  <w:style w:type="table" w:styleId="TableGrid">
    <w:name w:val="Table Grid"/>
    <w:basedOn w:val="TableNormal"/>
    <w:uiPriority w:val="59"/>
    <w:rsid w:val="00615935"/>
    <w:rPr>
      <w:rFonts w:ascii="GHEA Grapalat" w:eastAsiaTheme="minorHAnsi" w:hAnsi="GHEA Grapalat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593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5935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9E11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5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7859"/>
    <w:pPr>
      <w:ind w:left="720"/>
    </w:pPr>
  </w:style>
  <w:style w:type="character" w:styleId="Strong">
    <w:name w:val="Strong"/>
    <w:basedOn w:val="DefaultParagraphFont"/>
    <w:uiPriority w:val="22"/>
    <w:qFormat/>
    <w:locked/>
    <w:rsid w:val="00615935"/>
    <w:rPr>
      <w:b/>
      <w:bCs/>
    </w:rPr>
  </w:style>
  <w:style w:type="paragraph" w:customStyle="1" w:styleId="mechtex">
    <w:name w:val="mechtex"/>
    <w:basedOn w:val="Normal"/>
    <w:link w:val="mechtexChar"/>
    <w:rsid w:val="00615935"/>
    <w:pPr>
      <w:spacing w:after="0" w:line="240" w:lineRule="auto"/>
      <w:jc w:val="center"/>
    </w:pPr>
    <w:rPr>
      <w:rFonts w:ascii="Arial Armeni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15935"/>
    <w:rPr>
      <w:rFonts w:ascii="Arial Armenian" w:hAnsi="Arial Armenian"/>
      <w:szCs w:val="20"/>
      <w:lang w:eastAsia="ru-RU"/>
    </w:rPr>
  </w:style>
  <w:style w:type="table" w:styleId="TableGrid">
    <w:name w:val="Table Grid"/>
    <w:basedOn w:val="TableNormal"/>
    <w:uiPriority w:val="59"/>
    <w:rsid w:val="00615935"/>
    <w:rPr>
      <w:rFonts w:ascii="GHEA Grapalat" w:eastAsiaTheme="minorHAnsi" w:hAnsi="GHEA Grapalat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593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5935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9E11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80D0-AA5B-4596-A2DE-66299D8F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23</Pages>
  <Words>4487</Words>
  <Characters>25580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Gevorgyan</dc:creator>
  <cp:keywords/>
  <dc:description/>
  <cp:lastModifiedBy>Anahit Gevorgyan</cp:lastModifiedBy>
  <cp:revision>53</cp:revision>
  <dcterms:created xsi:type="dcterms:W3CDTF">2015-10-05T08:11:00Z</dcterms:created>
  <dcterms:modified xsi:type="dcterms:W3CDTF">2015-10-23T12:33:00Z</dcterms:modified>
</cp:coreProperties>
</file>