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52" w:rsidRDefault="00240EAF" w:rsidP="006417DB">
      <w:pPr>
        <w:tabs>
          <w:tab w:val="left" w:pos="0"/>
        </w:tabs>
        <w:jc w:val="right"/>
        <w:rPr>
          <w:sz w:val="24"/>
          <w:szCs w:val="24"/>
        </w:rPr>
      </w:pPr>
      <w:r>
        <w:rPr>
          <w:sz w:val="24"/>
          <w:szCs w:val="24"/>
        </w:rPr>
        <w:t>ՆԱԽԱԳԻԾ</w:t>
      </w:r>
    </w:p>
    <w:p w:rsidR="00240EAF" w:rsidRDefault="00240EAF" w:rsidP="002A43C1">
      <w:pPr>
        <w:tabs>
          <w:tab w:val="left" w:pos="1080"/>
        </w:tabs>
        <w:ind w:firstLine="720"/>
        <w:jc w:val="center"/>
        <w:rPr>
          <w:sz w:val="24"/>
          <w:szCs w:val="24"/>
        </w:rPr>
      </w:pPr>
    </w:p>
    <w:p w:rsidR="006417DB" w:rsidRPr="006417DB" w:rsidRDefault="006417DB" w:rsidP="006417DB">
      <w:pPr>
        <w:jc w:val="center"/>
        <w:rPr>
          <w:rFonts w:cs="Sylfaen"/>
          <w:sz w:val="24"/>
          <w:szCs w:val="24"/>
          <w:lang w:val="hy-AM"/>
        </w:rPr>
      </w:pPr>
      <w:r w:rsidRPr="006417DB">
        <w:rPr>
          <w:rFonts w:cs="Sylfaen"/>
          <w:sz w:val="24"/>
          <w:szCs w:val="24"/>
          <w:lang w:val="hy-AM"/>
        </w:rPr>
        <w:t xml:space="preserve">ՀԱՅԱՍՏԱՆԻ ՀԱՆՐԱՊԵՏՈՒԹՅԱՆ </w:t>
      </w:r>
      <w:r w:rsidR="00EC6FE0">
        <w:rPr>
          <w:rFonts w:cs="Sylfaen"/>
          <w:sz w:val="24"/>
          <w:szCs w:val="24"/>
          <w:lang w:val="hy-AM"/>
        </w:rPr>
        <w:t>ԿԱՌԱՎԱՐՈՒԹՅ</w:t>
      </w:r>
      <w:r w:rsidR="00EC6FE0">
        <w:rPr>
          <w:rFonts w:cs="Sylfaen"/>
          <w:sz w:val="24"/>
          <w:szCs w:val="24"/>
        </w:rPr>
        <w:t>ՈՒ</w:t>
      </w:r>
      <w:r w:rsidRPr="006417DB">
        <w:rPr>
          <w:rFonts w:cs="Sylfaen"/>
          <w:sz w:val="24"/>
          <w:szCs w:val="24"/>
          <w:lang w:val="hy-AM"/>
        </w:rPr>
        <w:t xml:space="preserve">Ն </w:t>
      </w:r>
    </w:p>
    <w:p w:rsidR="006417DB" w:rsidRPr="006417DB" w:rsidRDefault="006417DB" w:rsidP="006417DB">
      <w:pPr>
        <w:spacing w:after="0"/>
        <w:jc w:val="center"/>
        <w:rPr>
          <w:rFonts w:cs="Sylfaen"/>
          <w:sz w:val="24"/>
          <w:szCs w:val="24"/>
          <w:lang w:val="hy-AM"/>
        </w:rPr>
      </w:pPr>
      <w:r w:rsidRPr="006417DB">
        <w:rPr>
          <w:rFonts w:cs="Sylfaen"/>
          <w:sz w:val="24"/>
          <w:szCs w:val="24"/>
          <w:lang w:val="hy-AM"/>
        </w:rPr>
        <w:t>ՈՐՈՇՈՒՄ</w:t>
      </w:r>
    </w:p>
    <w:p w:rsidR="00240EAF" w:rsidRPr="006417DB" w:rsidRDefault="006417DB" w:rsidP="006417DB">
      <w:pPr>
        <w:pStyle w:val="ListParagraph"/>
        <w:tabs>
          <w:tab w:val="left" w:pos="0"/>
        </w:tabs>
        <w:ind w:left="0"/>
        <w:jc w:val="center"/>
        <w:rPr>
          <w:rFonts w:cs="Sylfaen"/>
          <w:sz w:val="24"/>
          <w:szCs w:val="24"/>
          <w:lang w:val="hy-AM"/>
        </w:rPr>
      </w:pPr>
      <w:r w:rsidRPr="006417DB">
        <w:rPr>
          <w:sz w:val="24"/>
          <w:szCs w:val="24"/>
          <w:lang w:val="hy-AM"/>
        </w:rPr>
        <w:t>«</w:t>
      </w:r>
      <w:r w:rsidRPr="006417DB">
        <w:rPr>
          <w:rFonts w:cs="Times Armenian"/>
          <w:sz w:val="24"/>
          <w:szCs w:val="24"/>
          <w:lang w:val="hy-AM"/>
        </w:rPr>
        <w:t xml:space="preserve"> </w:t>
      </w:r>
      <w:r>
        <w:rPr>
          <w:rFonts w:cs="Times Armenian"/>
          <w:sz w:val="24"/>
          <w:szCs w:val="24"/>
          <w:lang w:val="hy-AM"/>
        </w:rPr>
        <w:t xml:space="preserve"> </w:t>
      </w:r>
      <w:r w:rsidR="003859CA">
        <w:rPr>
          <w:rFonts w:cs="Times Armenian"/>
          <w:sz w:val="24"/>
          <w:szCs w:val="24"/>
          <w:lang w:val="hy-AM"/>
        </w:rPr>
        <w:t xml:space="preserve"> </w:t>
      </w:r>
      <w:r>
        <w:rPr>
          <w:rFonts w:cs="Times Armenian"/>
          <w:sz w:val="24"/>
          <w:szCs w:val="24"/>
          <w:lang w:val="hy-AM"/>
        </w:rPr>
        <w:t xml:space="preserve"> </w:t>
      </w:r>
      <w:r w:rsidRPr="006417DB">
        <w:rPr>
          <w:sz w:val="24"/>
          <w:szCs w:val="24"/>
          <w:lang w:val="hy-AM"/>
        </w:rPr>
        <w:t>»</w:t>
      </w:r>
      <w:r w:rsidRPr="006417DB">
        <w:rPr>
          <w:rFonts w:cs="Times Armenian"/>
          <w:sz w:val="24"/>
          <w:szCs w:val="24"/>
          <w:lang w:val="hy-AM"/>
        </w:rPr>
        <w:t xml:space="preserve"> ----------------- 20</w:t>
      </w:r>
      <w:r w:rsidR="002D0690">
        <w:rPr>
          <w:rFonts w:cs="Times Armenian"/>
          <w:sz w:val="24"/>
          <w:szCs w:val="24"/>
        </w:rPr>
        <w:t>12</w:t>
      </w:r>
      <w:r w:rsidRPr="006417DB">
        <w:rPr>
          <w:rFonts w:cs="Times Armenian"/>
          <w:sz w:val="24"/>
          <w:szCs w:val="24"/>
          <w:lang w:val="hy-AM"/>
        </w:rPr>
        <w:t xml:space="preserve"> </w:t>
      </w:r>
      <w:r w:rsidRPr="006417DB">
        <w:rPr>
          <w:rFonts w:cs="Sylfaen"/>
          <w:sz w:val="24"/>
          <w:szCs w:val="24"/>
          <w:lang w:val="hy-AM"/>
        </w:rPr>
        <w:t xml:space="preserve">թվականի N </w:t>
      </w:r>
      <w:r w:rsidR="003859CA">
        <w:rPr>
          <w:rFonts w:cs="Sylfaen"/>
          <w:sz w:val="24"/>
          <w:szCs w:val="24"/>
          <w:lang w:val="hy-AM"/>
        </w:rPr>
        <w:t xml:space="preserve">     </w:t>
      </w:r>
      <w:r w:rsidRPr="006417DB">
        <w:rPr>
          <w:rFonts w:cs="Sylfaen"/>
          <w:sz w:val="24"/>
          <w:szCs w:val="24"/>
          <w:lang w:val="hy-AM"/>
        </w:rPr>
        <w:t>-Ն</w:t>
      </w:r>
    </w:p>
    <w:p w:rsidR="00240EAF" w:rsidRPr="006417DB" w:rsidRDefault="00240EAF" w:rsidP="002A43C1">
      <w:pPr>
        <w:pStyle w:val="ListParagraph"/>
        <w:tabs>
          <w:tab w:val="left" w:pos="1080"/>
        </w:tabs>
        <w:ind w:left="0" w:firstLine="720"/>
        <w:jc w:val="center"/>
        <w:rPr>
          <w:rFonts w:cs="Sylfaen"/>
          <w:sz w:val="24"/>
          <w:szCs w:val="24"/>
          <w:lang w:val="hy-AM"/>
        </w:rPr>
      </w:pPr>
    </w:p>
    <w:p w:rsidR="00240EAF" w:rsidRPr="006417DB" w:rsidRDefault="006417DB" w:rsidP="006417DB">
      <w:pPr>
        <w:pStyle w:val="ListParagraph"/>
        <w:tabs>
          <w:tab w:val="left" w:pos="0"/>
        </w:tabs>
        <w:ind w:left="0"/>
        <w:jc w:val="center"/>
        <w:rPr>
          <w:rFonts w:cs="Sylfaen"/>
          <w:sz w:val="24"/>
          <w:szCs w:val="24"/>
          <w:lang w:val="hy-AM"/>
        </w:rPr>
      </w:pPr>
      <w:r>
        <w:rPr>
          <w:rFonts w:cs="Sylfaen"/>
          <w:sz w:val="24"/>
          <w:szCs w:val="24"/>
          <w:lang w:val="hy-AM"/>
        </w:rPr>
        <w:t xml:space="preserve">ՊԱՅՄԱՆԱԳՐԱՅԻՆ </w:t>
      </w:r>
      <w:r w:rsidR="00C55074" w:rsidRPr="006417DB">
        <w:rPr>
          <w:rFonts w:cs="Sylfaen"/>
          <w:sz w:val="24"/>
          <w:szCs w:val="24"/>
          <w:lang w:val="hy-AM"/>
        </w:rPr>
        <w:t>ՆԵՐԴՐՈՒՄԱՅԻՆ</w:t>
      </w:r>
      <w:r w:rsidR="00240EAF" w:rsidRPr="006417DB">
        <w:rPr>
          <w:rFonts w:cs="Sylfaen"/>
          <w:sz w:val="24"/>
          <w:szCs w:val="24"/>
          <w:lang w:val="hy-AM"/>
        </w:rPr>
        <w:t xml:space="preserve"> </w:t>
      </w:r>
      <w:r w:rsidR="00C55074" w:rsidRPr="006417DB">
        <w:rPr>
          <w:rFonts w:cs="Sylfaen"/>
          <w:sz w:val="24"/>
          <w:szCs w:val="24"/>
          <w:lang w:val="hy-AM"/>
        </w:rPr>
        <w:t>ՖՈՆԴԵՐԻ</w:t>
      </w:r>
      <w:r w:rsidR="00240EAF" w:rsidRPr="006417DB">
        <w:rPr>
          <w:rFonts w:cs="Sylfaen"/>
          <w:sz w:val="24"/>
          <w:szCs w:val="24"/>
          <w:lang w:val="hy-AM"/>
        </w:rPr>
        <w:t xml:space="preserve"> </w:t>
      </w:r>
      <w:r w:rsidR="00C55074" w:rsidRPr="006417DB">
        <w:rPr>
          <w:rFonts w:cs="Sylfaen"/>
          <w:sz w:val="24"/>
          <w:szCs w:val="24"/>
          <w:lang w:val="hy-AM"/>
        </w:rPr>
        <w:t>ՊԵՏԱԿԱՆ</w:t>
      </w:r>
      <w:r w:rsidR="00FA3520" w:rsidRPr="006417DB">
        <w:rPr>
          <w:rFonts w:cs="Sylfaen"/>
          <w:sz w:val="24"/>
          <w:szCs w:val="24"/>
          <w:lang w:val="hy-AM"/>
        </w:rPr>
        <w:t xml:space="preserve"> </w:t>
      </w:r>
      <w:r w:rsidR="00C55074" w:rsidRPr="006417DB">
        <w:rPr>
          <w:rFonts w:cs="Sylfaen"/>
          <w:sz w:val="24"/>
          <w:szCs w:val="24"/>
          <w:lang w:val="hy-AM"/>
        </w:rPr>
        <w:t>ՀԱՇՎԱՌՄԱՆ</w:t>
      </w:r>
      <w:r w:rsidR="00240EAF" w:rsidRPr="006417DB">
        <w:rPr>
          <w:rFonts w:cs="Sylfaen"/>
          <w:sz w:val="24"/>
          <w:szCs w:val="24"/>
          <w:lang w:val="hy-AM"/>
        </w:rPr>
        <w:t xml:space="preserve"> </w:t>
      </w:r>
      <w:r w:rsidR="00C55074" w:rsidRPr="006417DB">
        <w:rPr>
          <w:rFonts w:cs="Sylfaen"/>
          <w:sz w:val="24"/>
          <w:szCs w:val="24"/>
          <w:lang w:val="hy-AM"/>
        </w:rPr>
        <w:t>ԿԱՐԳԸ</w:t>
      </w:r>
      <w:r w:rsidR="00480F29">
        <w:rPr>
          <w:rFonts w:cs="Sylfaen"/>
          <w:sz w:val="24"/>
          <w:szCs w:val="24"/>
        </w:rPr>
        <w:t xml:space="preserve"> ԵՎ ՊԱՅՄԱՆՆԵՐԸ</w:t>
      </w:r>
      <w:r w:rsidR="00240EAF" w:rsidRPr="006417DB">
        <w:rPr>
          <w:rFonts w:cs="Sylfaen"/>
          <w:sz w:val="24"/>
          <w:szCs w:val="24"/>
          <w:lang w:val="hy-AM"/>
        </w:rPr>
        <w:t xml:space="preserve"> </w:t>
      </w:r>
      <w:r w:rsidR="00C55074" w:rsidRPr="006417DB">
        <w:rPr>
          <w:rFonts w:cs="Sylfaen"/>
          <w:sz w:val="24"/>
          <w:szCs w:val="24"/>
          <w:lang w:val="hy-AM"/>
        </w:rPr>
        <w:t>ՀԱՍՏԱՏԵԼՈՒ</w:t>
      </w:r>
      <w:r w:rsidR="00240EAF" w:rsidRPr="006417DB">
        <w:rPr>
          <w:rFonts w:cs="Sylfaen"/>
          <w:sz w:val="24"/>
          <w:szCs w:val="24"/>
          <w:lang w:val="hy-AM"/>
        </w:rPr>
        <w:t xml:space="preserve"> </w:t>
      </w:r>
      <w:r w:rsidR="00C55074" w:rsidRPr="006417DB">
        <w:rPr>
          <w:rFonts w:cs="Sylfaen"/>
          <w:sz w:val="24"/>
          <w:szCs w:val="24"/>
          <w:lang w:val="hy-AM"/>
        </w:rPr>
        <w:t>ՄԱՍԻՆ</w:t>
      </w:r>
    </w:p>
    <w:p w:rsidR="00953EE1" w:rsidRDefault="00953EE1" w:rsidP="006417DB">
      <w:pPr>
        <w:tabs>
          <w:tab w:val="left" w:pos="0"/>
        </w:tabs>
        <w:ind w:firstLine="720"/>
        <w:rPr>
          <w:sz w:val="24"/>
          <w:szCs w:val="24"/>
        </w:rPr>
      </w:pPr>
    </w:p>
    <w:p w:rsidR="006417DB" w:rsidRPr="00A819B5" w:rsidRDefault="006417DB" w:rsidP="00A819B5">
      <w:pPr>
        <w:tabs>
          <w:tab w:val="left" w:pos="1080"/>
        </w:tabs>
        <w:spacing w:after="0" w:line="360" w:lineRule="auto"/>
        <w:ind w:firstLine="720"/>
        <w:jc w:val="both"/>
        <w:rPr>
          <w:sz w:val="24"/>
          <w:szCs w:val="24"/>
          <w:lang w:val="hy-AM"/>
        </w:rPr>
      </w:pPr>
      <w:r w:rsidRPr="006417DB">
        <w:rPr>
          <w:sz w:val="24"/>
          <w:szCs w:val="24"/>
          <w:lang w:val="hy-AM"/>
        </w:rPr>
        <w:t>Հիմք ընդունելով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w:t>
      </w:r>
      <w:r w:rsidR="00E665C6" w:rsidRPr="006417DB">
        <w:rPr>
          <w:sz w:val="24"/>
          <w:szCs w:val="24"/>
          <w:lang w:val="hy-AM"/>
        </w:rPr>
        <w:t xml:space="preserve"> 1-ին հոդվածի 3-րդ մասը՝ </w:t>
      </w:r>
      <w:r w:rsidRPr="006417DB">
        <w:rPr>
          <w:sz w:val="24"/>
          <w:szCs w:val="24"/>
          <w:lang w:val="hy-AM"/>
        </w:rPr>
        <w:t>Հայաստանի Հանրա</w:t>
      </w:r>
      <w:r w:rsidRPr="006417DB">
        <w:rPr>
          <w:sz w:val="24"/>
          <w:szCs w:val="24"/>
          <w:lang w:val="hy-AM"/>
        </w:rPr>
        <w:softHyphen/>
        <w:t>պե</w:t>
      </w:r>
      <w:r w:rsidRPr="006417DB">
        <w:rPr>
          <w:sz w:val="24"/>
          <w:szCs w:val="24"/>
          <w:lang w:val="hy-AM"/>
        </w:rPr>
        <w:softHyphen/>
        <w:t xml:space="preserve">տության կառավարությունը </w:t>
      </w:r>
      <w:r w:rsidRPr="006417DB">
        <w:rPr>
          <w:bCs/>
          <w:iCs/>
          <w:sz w:val="24"/>
          <w:szCs w:val="24"/>
          <w:lang w:val="hy-AM"/>
        </w:rPr>
        <w:t>որոշում է.</w:t>
      </w:r>
    </w:p>
    <w:p w:rsidR="00E665C6" w:rsidRPr="006417DB" w:rsidRDefault="003F5A25" w:rsidP="006417DB">
      <w:pPr>
        <w:pStyle w:val="ListParagraph"/>
        <w:numPr>
          <w:ilvl w:val="0"/>
          <w:numId w:val="3"/>
        </w:numPr>
        <w:tabs>
          <w:tab w:val="left" w:pos="1080"/>
        </w:tabs>
        <w:spacing w:after="0" w:line="360" w:lineRule="auto"/>
        <w:ind w:left="0" w:firstLine="720"/>
        <w:jc w:val="both"/>
        <w:rPr>
          <w:sz w:val="24"/>
          <w:szCs w:val="24"/>
          <w:lang w:val="hy-AM"/>
        </w:rPr>
      </w:pPr>
      <w:r>
        <w:rPr>
          <w:sz w:val="24"/>
          <w:szCs w:val="24"/>
          <w:lang w:val="hy-AM"/>
        </w:rPr>
        <w:t>Հաստատել պ</w:t>
      </w:r>
      <w:r w:rsidR="006417DB">
        <w:rPr>
          <w:sz w:val="24"/>
          <w:szCs w:val="24"/>
          <w:lang w:val="hy-AM"/>
        </w:rPr>
        <w:t>այմանագրային ն</w:t>
      </w:r>
      <w:r w:rsidR="00E665C6" w:rsidRPr="006417DB">
        <w:rPr>
          <w:sz w:val="24"/>
          <w:szCs w:val="24"/>
          <w:lang w:val="hy-AM"/>
        </w:rPr>
        <w:t xml:space="preserve">երդրումային ֆոնդերի </w:t>
      </w:r>
      <w:r w:rsidR="00FA3520" w:rsidRPr="006417DB">
        <w:rPr>
          <w:sz w:val="24"/>
          <w:szCs w:val="24"/>
          <w:lang w:val="hy-AM"/>
        </w:rPr>
        <w:t xml:space="preserve">պետական </w:t>
      </w:r>
      <w:r w:rsidR="00E665C6" w:rsidRPr="006417DB">
        <w:rPr>
          <w:sz w:val="24"/>
          <w:szCs w:val="24"/>
          <w:lang w:val="hy-AM"/>
        </w:rPr>
        <w:t>հաշվառման կարգը</w:t>
      </w:r>
      <w:r w:rsidR="00865CD1">
        <w:rPr>
          <w:sz w:val="24"/>
          <w:szCs w:val="24"/>
        </w:rPr>
        <w:t xml:space="preserve"> և պայմանները</w:t>
      </w:r>
      <w:r w:rsidR="00E665C6" w:rsidRPr="006417DB">
        <w:rPr>
          <w:sz w:val="24"/>
          <w:szCs w:val="24"/>
          <w:lang w:val="hy-AM"/>
        </w:rPr>
        <w:t xml:space="preserve">՝ համաձայն </w:t>
      </w:r>
      <w:r w:rsidR="00954EF5" w:rsidRPr="006417DB">
        <w:rPr>
          <w:sz w:val="24"/>
          <w:szCs w:val="24"/>
          <w:lang w:val="hy-AM"/>
        </w:rPr>
        <w:t>հ</w:t>
      </w:r>
      <w:r w:rsidR="00E665C6" w:rsidRPr="006417DB">
        <w:rPr>
          <w:sz w:val="24"/>
          <w:szCs w:val="24"/>
          <w:lang w:val="hy-AM"/>
        </w:rPr>
        <w:t>ավելվածի</w:t>
      </w:r>
      <w:r w:rsidR="00A819B5">
        <w:rPr>
          <w:sz w:val="24"/>
          <w:szCs w:val="24"/>
        </w:rPr>
        <w:t>:</w:t>
      </w:r>
    </w:p>
    <w:p w:rsidR="00E665C6" w:rsidRPr="006417DB" w:rsidRDefault="00E665C6" w:rsidP="006417DB">
      <w:pPr>
        <w:pStyle w:val="ListParagraph"/>
        <w:numPr>
          <w:ilvl w:val="0"/>
          <w:numId w:val="3"/>
        </w:numPr>
        <w:tabs>
          <w:tab w:val="left" w:pos="1080"/>
        </w:tabs>
        <w:spacing w:after="0" w:line="360" w:lineRule="auto"/>
        <w:ind w:left="0" w:firstLine="720"/>
        <w:jc w:val="both"/>
        <w:rPr>
          <w:sz w:val="24"/>
          <w:szCs w:val="24"/>
          <w:lang w:val="hy-AM"/>
        </w:rPr>
      </w:pPr>
      <w:r w:rsidRPr="006417DB">
        <w:rPr>
          <w:sz w:val="24"/>
          <w:szCs w:val="24"/>
          <w:lang w:val="hy-AM"/>
        </w:rPr>
        <w:t>Սույն որոշումն ուժի մեջ է մտնում պաշտոնական հրապարակման օրվան հաջորդող տասներորդ օրը:</w:t>
      </w:r>
    </w:p>
    <w:p w:rsidR="00E665C6" w:rsidRDefault="00E665C6" w:rsidP="002A43C1">
      <w:pPr>
        <w:tabs>
          <w:tab w:val="left" w:pos="1080"/>
        </w:tabs>
        <w:ind w:firstLine="720"/>
        <w:rPr>
          <w:sz w:val="24"/>
          <w:szCs w:val="24"/>
        </w:rPr>
      </w:pPr>
    </w:p>
    <w:p w:rsidR="00A819B5" w:rsidRPr="00A819B5" w:rsidRDefault="00A819B5" w:rsidP="002A43C1">
      <w:pPr>
        <w:tabs>
          <w:tab w:val="left" w:pos="1080"/>
        </w:tabs>
        <w:ind w:firstLine="720"/>
        <w:rPr>
          <w:b/>
          <w:sz w:val="24"/>
          <w:szCs w:val="24"/>
        </w:rPr>
      </w:pPr>
      <w:r w:rsidRPr="00A819B5">
        <w:rPr>
          <w:b/>
          <w:sz w:val="24"/>
          <w:szCs w:val="24"/>
        </w:rPr>
        <w:t>ՀՀ արդարադատության նախարար     Հրայր Թովմասյան</w:t>
      </w:r>
    </w:p>
    <w:p w:rsidR="00E665C6" w:rsidRPr="002A43C1" w:rsidRDefault="00E665C6" w:rsidP="002A43C1">
      <w:pPr>
        <w:pStyle w:val="NoSpacing"/>
        <w:rPr>
          <w:sz w:val="24"/>
          <w:szCs w:val="24"/>
        </w:rPr>
      </w:pPr>
    </w:p>
    <w:p w:rsidR="001E11ED" w:rsidRDefault="001E11ED">
      <w:pPr>
        <w:rPr>
          <w:sz w:val="24"/>
          <w:szCs w:val="24"/>
        </w:rPr>
      </w:pPr>
      <w:r>
        <w:rPr>
          <w:sz w:val="24"/>
          <w:szCs w:val="24"/>
        </w:rPr>
        <w:br w:type="page"/>
      </w:r>
    </w:p>
    <w:p w:rsidR="006417DB" w:rsidRPr="00A819B5" w:rsidRDefault="006417DB" w:rsidP="006417DB">
      <w:pPr>
        <w:spacing w:after="0" w:line="240" w:lineRule="auto"/>
        <w:ind w:firstLine="375"/>
        <w:jc w:val="right"/>
        <w:rPr>
          <w:bCs/>
          <w:sz w:val="24"/>
          <w:szCs w:val="24"/>
          <w:lang w:val="hy-AM"/>
        </w:rPr>
      </w:pPr>
      <w:r w:rsidRPr="00A819B5">
        <w:rPr>
          <w:rFonts w:cs="Sylfaen"/>
          <w:bCs/>
          <w:sz w:val="24"/>
          <w:szCs w:val="24"/>
          <w:lang w:val="hy-AM"/>
        </w:rPr>
        <w:lastRenderedPageBreak/>
        <w:t xml:space="preserve">Հավելված </w:t>
      </w:r>
    </w:p>
    <w:p w:rsidR="006417DB" w:rsidRPr="00A819B5" w:rsidRDefault="006417DB" w:rsidP="006417DB">
      <w:pPr>
        <w:spacing w:after="0" w:line="240" w:lineRule="auto"/>
        <w:ind w:firstLine="375"/>
        <w:jc w:val="right"/>
        <w:rPr>
          <w:bCs/>
          <w:sz w:val="24"/>
          <w:szCs w:val="24"/>
          <w:lang w:val="hy-AM"/>
        </w:rPr>
      </w:pPr>
      <w:r w:rsidRPr="00A819B5">
        <w:rPr>
          <w:rFonts w:cs="Sylfaen"/>
          <w:bCs/>
          <w:sz w:val="24"/>
          <w:szCs w:val="24"/>
          <w:lang w:val="hy-AM"/>
        </w:rPr>
        <w:t>ՀՀ</w:t>
      </w:r>
      <w:r w:rsidRPr="00A819B5">
        <w:rPr>
          <w:bCs/>
          <w:sz w:val="24"/>
          <w:szCs w:val="24"/>
          <w:lang w:val="hy-AM"/>
        </w:rPr>
        <w:t xml:space="preserve"> </w:t>
      </w:r>
      <w:r w:rsidRPr="00A819B5">
        <w:rPr>
          <w:rFonts w:cs="Sylfaen"/>
          <w:bCs/>
          <w:sz w:val="24"/>
          <w:szCs w:val="24"/>
          <w:lang w:val="hy-AM"/>
        </w:rPr>
        <w:t>կառավարության</w:t>
      </w:r>
      <w:r w:rsidR="00A819B5" w:rsidRPr="00A819B5">
        <w:rPr>
          <w:bCs/>
          <w:sz w:val="24"/>
          <w:szCs w:val="24"/>
        </w:rPr>
        <w:t xml:space="preserve"> 2012</w:t>
      </w:r>
      <w:r w:rsidRPr="00A819B5">
        <w:rPr>
          <w:bCs/>
          <w:sz w:val="24"/>
          <w:szCs w:val="24"/>
          <w:lang w:val="hy-AM"/>
        </w:rPr>
        <w:t xml:space="preserve"> </w:t>
      </w:r>
      <w:r w:rsidRPr="00A819B5">
        <w:rPr>
          <w:rFonts w:cs="Sylfaen"/>
          <w:bCs/>
          <w:sz w:val="24"/>
          <w:szCs w:val="24"/>
          <w:lang w:val="hy-AM"/>
        </w:rPr>
        <w:t>թվականի</w:t>
      </w:r>
    </w:p>
    <w:p w:rsidR="00E71E19" w:rsidRPr="00A819B5" w:rsidRDefault="00A819B5" w:rsidP="006417DB">
      <w:pPr>
        <w:pStyle w:val="ListParagraph"/>
        <w:tabs>
          <w:tab w:val="left" w:pos="1080"/>
        </w:tabs>
        <w:spacing w:after="0" w:line="240" w:lineRule="auto"/>
        <w:ind w:left="0" w:firstLine="720"/>
        <w:jc w:val="right"/>
        <w:rPr>
          <w:sz w:val="24"/>
          <w:szCs w:val="24"/>
        </w:rPr>
      </w:pPr>
      <w:r w:rsidRPr="00A819B5">
        <w:rPr>
          <w:rFonts w:cs="Sylfaen"/>
          <w:bCs/>
          <w:sz w:val="24"/>
          <w:szCs w:val="24"/>
          <w:lang w:val="hy-AM"/>
        </w:rPr>
        <w:t>___</w:t>
      </w:r>
      <w:r w:rsidR="006417DB" w:rsidRPr="00A819B5">
        <w:rPr>
          <w:rFonts w:cs="Sylfaen"/>
          <w:bCs/>
          <w:sz w:val="24"/>
          <w:szCs w:val="24"/>
          <w:lang w:val="hy-AM"/>
        </w:rPr>
        <w:t xml:space="preserve"> __</w:t>
      </w:r>
      <w:r w:rsidR="006417DB" w:rsidRPr="00A819B5">
        <w:rPr>
          <w:bCs/>
          <w:sz w:val="24"/>
          <w:szCs w:val="24"/>
          <w:lang w:val="hy-AM"/>
        </w:rPr>
        <w:t xml:space="preserve"> N ____-</w:t>
      </w:r>
      <w:r w:rsidR="006417DB" w:rsidRPr="00A819B5">
        <w:rPr>
          <w:rFonts w:cs="Sylfaen"/>
          <w:bCs/>
          <w:sz w:val="24"/>
          <w:szCs w:val="24"/>
          <w:lang w:val="hy-AM"/>
        </w:rPr>
        <w:t>Ն</w:t>
      </w:r>
      <w:r w:rsidR="006417DB" w:rsidRPr="00A819B5">
        <w:rPr>
          <w:bCs/>
          <w:sz w:val="24"/>
          <w:szCs w:val="24"/>
          <w:lang w:val="hy-AM"/>
        </w:rPr>
        <w:t xml:space="preserve"> </w:t>
      </w:r>
      <w:r w:rsidR="006417DB" w:rsidRPr="00A819B5">
        <w:rPr>
          <w:rFonts w:cs="Sylfaen"/>
          <w:bCs/>
          <w:sz w:val="24"/>
          <w:szCs w:val="24"/>
          <w:lang w:val="hy-AM"/>
        </w:rPr>
        <w:t>որոշման</w:t>
      </w:r>
    </w:p>
    <w:p w:rsidR="00953EE1" w:rsidRDefault="00953EE1" w:rsidP="002A43C1">
      <w:pPr>
        <w:pStyle w:val="ListParagraph"/>
        <w:tabs>
          <w:tab w:val="left" w:pos="1080"/>
        </w:tabs>
        <w:ind w:left="0" w:firstLine="720"/>
        <w:jc w:val="right"/>
        <w:rPr>
          <w:sz w:val="24"/>
          <w:szCs w:val="24"/>
        </w:rPr>
      </w:pPr>
    </w:p>
    <w:p w:rsidR="003F5A25" w:rsidRDefault="003F5A25" w:rsidP="006417DB">
      <w:pPr>
        <w:pStyle w:val="ListParagraph"/>
        <w:tabs>
          <w:tab w:val="left" w:pos="0"/>
        </w:tabs>
        <w:ind w:left="0"/>
        <w:jc w:val="center"/>
        <w:rPr>
          <w:b/>
          <w:sz w:val="24"/>
          <w:szCs w:val="24"/>
          <w:lang w:val="hy-AM"/>
        </w:rPr>
      </w:pPr>
    </w:p>
    <w:p w:rsidR="003F5A25" w:rsidRDefault="003F5A25" w:rsidP="006417DB">
      <w:pPr>
        <w:pStyle w:val="ListParagraph"/>
        <w:tabs>
          <w:tab w:val="left" w:pos="0"/>
        </w:tabs>
        <w:ind w:left="0"/>
        <w:jc w:val="center"/>
        <w:rPr>
          <w:b/>
          <w:sz w:val="24"/>
          <w:szCs w:val="24"/>
          <w:lang w:val="hy-AM"/>
        </w:rPr>
      </w:pPr>
    </w:p>
    <w:p w:rsidR="006417DB" w:rsidRDefault="003F5A25" w:rsidP="006417DB">
      <w:pPr>
        <w:pStyle w:val="ListParagraph"/>
        <w:tabs>
          <w:tab w:val="left" w:pos="0"/>
        </w:tabs>
        <w:ind w:left="0"/>
        <w:jc w:val="center"/>
        <w:rPr>
          <w:b/>
          <w:sz w:val="24"/>
          <w:szCs w:val="24"/>
          <w:lang w:val="hy-AM"/>
        </w:rPr>
      </w:pPr>
      <w:r w:rsidRPr="006417DB">
        <w:rPr>
          <w:b/>
          <w:sz w:val="24"/>
          <w:szCs w:val="24"/>
        </w:rPr>
        <w:t>ԿԱՐԳ</w:t>
      </w:r>
      <w:r w:rsidR="00480F29">
        <w:rPr>
          <w:b/>
          <w:sz w:val="24"/>
          <w:szCs w:val="24"/>
        </w:rPr>
        <w:t xml:space="preserve"> ԵՎ ՊԱՅՄԱՆՆԵՐ</w:t>
      </w:r>
    </w:p>
    <w:p w:rsidR="00E71E19" w:rsidRPr="006417DB" w:rsidRDefault="006417DB" w:rsidP="006417DB">
      <w:pPr>
        <w:pStyle w:val="ListParagraph"/>
        <w:tabs>
          <w:tab w:val="left" w:pos="0"/>
        </w:tabs>
        <w:ind w:left="0"/>
        <w:jc w:val="center"/>
        <w:rPr>
          <w:b/>
          <w:sz w:val="24"/>
          <w:szCs w:val="24"/>
        </w:rPr>
      </w:pPr>
      <w:r>
        <w:rPr>
          <w:b/>
          <w:sz w:val="24"/>
          <w:szCs w:val="24"/>
          <w:lang w:val="hy-AM"/>
        </w:rPr>
        <w:t xml:space="preserve">ՊԱՅՄԱՆԱԳՐԱՅԻՆ </w:t>
      </w:r>
      <w:r w:rsidR="00E71E19" w:rsidRPr="006417DB">
        <w:rPr>
          <w:b/>
          <w:sz w:val="24"/>
          <w:szCs w:val="24"/>
        </w:rPr>
        <w:t xml:space="preserve">ՆԵՐԴՐՈՒՄԱՅԻՆ ՖՈՆԴԵՐԻ </w:t>
      </w:r>
      <w:r w:rsidR="00FA3520" w:rsidRPr="006417DB">
        <w:rPr>
          <w:b/>
          <w:sz w:val="24"/>
          <w:szCs w:val="24"/>
        </w:rPr>
        <w:t xml:space="preserve">ՊԵՏԱԿԱՆ </w:t>
      </w:r>
      <w:r w:rsidR="00E71E19" w:rsidRPr="006417DB">
        <w:rPr>
          <w:b/>
          <w:sz w:val="24"/>
          <w:szCs w:val="24"/>
        </w:rPr>
        <w:t xml:space="preserve">ՀԱՇՎԱՌՄԱՆ </w:t>
      </w:r>
    </w:p>
    <w:p w:rsidR="00E71E19" w:rsidRDefault="00E71E19" w:rsidP="002A43C1">
      <w:pPr>
        <w:pStyle w:val="ListParagraph"/>
        <w:tabs>
          <w:tab w:val="left" w:pos="1080"/>
        </w:tabs>
        <w:ind w:left="0" w:firstLine="720"/>
        <w:rPr>
          <w:b/>
          <w:sz w:val="28"/>
          <w:szCs w:val="28"/>
          <w:lang w:val="hy-AM"/>
        </w:rPr>
      </w:pPr>
    </w:p>
    <w:p w:rsidR="003F5A25" w:rsidRDefault="003F5A25" w:rsidP="002A43C1">
      <w:pPr>
        <w:pStyle w:val="ListParagraph"/>
        <w:tabs>
          <w:tab w:val="left" w:pos="1080"/>
        </w:tabs>
        <w:ind w:left="0" w:firstLine="720"/>
        <w:rPr>
          <w:b/>
          <w:sz w:val="28"/>
          <w:szCs w:val="28"/>
          <w:lang w:val="hy-AM"/>
        </w:rPr>
      </w:pPr>
    </w:p>
    <w:p w:rsidR="003F5A25" w:rsidRDefault="003F5A25" w:rsidP="006417DB">
      <w:pPr>
        <w:pStyle w:val="ListParagraph"/>
        <w:numPr>
          <w:ilvl w:val="0"/>
          <w:numId w:val="4"/>
        </w:numPr>
        <w:tabs>
          <w:tab w:val="left" w:pos="1080"/>
        </w:tabs>
        <w:spacing w:line="360" w:lineRule="auto"/>
        <w:ind w:left="0" w:firstLine="720"/>
        <w:jc w:val="both"/>
        <w:rPr>
          <w:sz w:val="24"/>
          <w:szCs w:val="24"/>
          <w:lang w:val="hy-AM"/>
        </w:rPr>
      </w:pPr>
      <w:r>
        <w:rPr>
          <w:sz w:val="24"/>
          <w:szCs w:val="24"/>
          <w:lang w:val="hy-AM"/>
        </w:rPr>
        <w:t>Սույն կար</w:t>
      </w:r>
      <w:r w:rsidR="00A819B5">
        <w:rPr>
          <w:sz w:val="24"/>
          <w:szCs w:val="24"/>
        </w:rPr>
        <w:t>գ</w:t>
      </w:r>
      <w:r>
        <w:rPr>
          <w:sz w:val="24"/>
          <w:szCs w:val="24"/>
          <w:lang w:val="hy-AM"/>
        </w:rPr>
        <w:t xml:space="preserve">ով սահմանվում է պայմանագրային ներդրումային ֆոնդերի պետական հաշվառման </w:t>
      </w:r>
      <w:r w:rsidR="0064316A">
        <w:rPr>
          <w:sz w:val="24"/>
          <w:szCs w:val="24"/>
          <w:lang w:val="hy-AM"/>
        </w:rPr>
        <w:t>պայմաններ</w:t>
      </w:r>
      <w:r w:rsidR="0064316A">
        <w:rPr>
          <w:sz w:val="24"/>
          <w:szCs w:val="24"/>
        </w:rPr>
        <w:t>ը</w:t>
      </w:r>
      <w:r w:rsidR="00865CD1">
        <w:rPr>
          <w:sz w:val="24"/>
          <w:szCs w:val="24"/>
        </w:rPr>
        <w:t xml:space="preserve"> և ընթացակարգը</w:t>
      </w:r>
      <w:r>
        <w:rPr>
          <w:sz w:val="24"/>
          <w:szCs w:val="24"/>
          <w:lang w:val="hy-AM"/>
        </w:rPr>
        <w:t>:</w:t>
      </w:r>
    </w:p>
    <w:p w:rsidR="00DF552B" w:rsidRPr="001E11ED" w:rsidRDefault="006417DB" w:rsidP="006417DB">
      <w:pPr>
        <w:pStyle w:val="ListParagraph"/>
        <w:numPr>
          <w:ilvl w:val="0"/>
          <w:numId w:val="4"/>
        </w:numPr>
        <w:tabs>
          <w:tab w:val="left" w:pos="1080"/>
        </w:tabs>
        <w:spacing w:line="360" w:lineRule="auto"/>
        <w:ind w:left="0" w:firstLine="720"/>
        <w:jc w:val="both"/>
        <w:rPr>
          <w:sz w:val="24"/>
          <w:szCs w:val="24"/>
          <w:lang w:val="hy-AM"/>
        </w:rPr>
      </w:pPr>
      <w:r w:rsidRPr="006417DB">
        <w:rPr>
          <w:sz w:val="24"/>
          <w:szCs w:val="24"/>
          <w:lang w:val="hy-AM"/>
        </w:rPr>
        <w:t>Հայաստանի Հանրապետության արդարադատության նախարարության աշխատակազմի պետական ռեգիստրի գործակա</w:t>
      </w:r>
      <w:r>
        <w:rPr>
          <w:sz w:val="24"/>
          <w:szCs w:val="24"/>
          <w:lang w:val="hy-AM"/>
        </w:rPr>
        <w:t>լությունը</w:t>
      </w:r>
      <w:r w:rsidRPr="006417DB">
        <w:rPr>
          <w:sz w:val="24"/>
          <w:szCs w:val="24"/>
          <w:lang w:val="hy-AM"/>
        </w:rPr>
        <w:t xml:space="preserve"> (այսուհետ՝ գործակալություն)</w:t>
      </w:r>
      <w:r w:rsidR="00C45F0D" w:rsidRPr="001E11ED">
        <w:rPr>
          <w:sz w:val="24"/>
          <w:szCs w:val="24"/>
          <w:lang w:val="hy-AM"/>
        </w:rPr>
        <w:t xml:space="preserve"> պայմանագրային ներդրումային ֆոնդի</w:t>
      </w:r>
      <w:r w:rsidR="00DF552B" w:rsidRPr="001E11ED">
        <w:rPr>
          <w:sz w:val="24"/>
          <w:szCs w:val="24"/>
          <w:lang w:val="hy-AM"/>
        </w:rPr>
        <w:t xml:space="preserve"> պետական հաշվառումն իրականացնում է Հայաստանի Հանրապետության կենտրոնական բանկից</w:t>
      </w:r>
      <w:r w:rsidR="000E619A" w:rsidRPr="001E11ED">
        <w:rPr>
          <w:sz w:val="24"/>
          <w:szCs w:val="24"/>
          <w:lang w:val="hy-AM"/>
        </w:rPr>
        <w:t xml:space="preserve"> ստացված</w:t>
      </w:r>
      <w:r w:rsidR="00DF552B" w:rsidRPr="001E11ED">
        <w:rPr>
          <w:sz w:val="24"/>
          <w:szCs w:val="24"/>
          <w:lang w:val="hy-AM"/>
        </w:rPr>
        <w:t xml:space="preserve"> այդ ֆոնդի</w:t>
      </w:r>
      <w:r w:rsidR="00C45F0D" w:rsidRPr="001E11ED">
        <w:rPr>
          <w:sz w:val="24"/>
          <w:szCs w:val="24"/>
          <w:lang w:val="hy-AM"/>
        </w:rPr>
        <w:t xml:space="preserve"> </w:t>
      </w:r>
      <w:r w:rsidR="00FA3520" w:rsidRPr="001E11ED">
        <w:rPr>
          <w:sz w:val="24"/>
          <w:szCs w:val="24"/>
          <w:lang w:val="hy-AM"/>
        </w:rPr>
        <w:t>կանոնների</w:t>
      </w:r>
      <w:r w:rsidR="00DF552B" w:rsidRPr="001E11ED">
        <w:rPr>
          <w:sz w:val="24"/>
          <w:szCs w:val="24"/>
          <w:lang w:val="hy-AM"/>
        </w:rPr>
        <w:t xml:space="preserve"> գրանցման մասին </w:t>
      </w:r>
      <w:r w:rsidR="000E619A" w:rsidRPr="001E11ED">
        <w:rPr>
          <w:sz w:val="24"/>
          <w:szCs w:val="24"/>
          <w:lang w:val="hy-AM"/>
        </w:rPr>
        <w:t>ծանու</w:t>
      </w:r>
      <w:r w:rsidR="00DF552B" w:rsidRPr="001E11ED">
        <w:rPr>
          <w:sz w:val="24"/>
          <w:szCs w:val="24"/>
          <w:lang w:val="hy-AM"/>
        </w:rPr>
        <w:t>ցման հիման վրա:</w:t>
      </w:r>
    </w:p>
    <w:p w:rsidR="000E619A" w:rsidRPr="001E11ED" w:rsidRDefault="00DF552B" w:rsidP="006417DB">
      <w:pPr>
        <w:pStyle w:val="ListParagraph"/>
        <w:numPr>
          <w:ilvl w:val="0"/>
          <w:numId w:val="4"/>
        </w:numPr>
        <w:tabs>
          <w:tab w:val="left" w:pos="1080"/>
        </w:tabs>
        <w:spacing w:line="360" w:lineRule="auto"/>
        <w:ind w:left="0" w:firstLine="720"/>
        <w:jc w:val="both"/>
        <w:rPr>
          <w:sz w:val="24"/>
          <w:szCs w:val="24"/>
          <w:lang w:val="hy-AM"/>
        </w:rPr>
      </w:pPr>
      <w:r w:rsidRPr="001E11ED">
        <w:rPr>
          <w:sz w:val="24"/>
          <w:szCs w:val="24"/>
          <w:lang w:val="hy-AM"/>
        </w:rPr>
        <w:t xml:space="preserve">Գործակալությունը </w:t>
      </w:r>
      <w:r w:rsidR="008D2E2F" w:rsidRPr="001E11ED">
        <w:rPr>
          <w:sz w:val="24"/>
          <w:szCs w:val="24"/>
          <w:lang w:val="hy-AM"/>
        </w:rPr>
        <w:t xml:space="preserve">համապատասխան պայմանագրային ներդրումային ֆոնդի </w:t>
      </w:r>
      <w:r w:rsidRPr="001E11ED">
        <w:rPr>
          <w:sz w:val="24"/>
          <w:szCs w:val="24"/>
          <w:lang w:val="hy-AM"/>
        </w:rPr>
        <w:t xml:space="preserve">պետական հաշվառումն իրականացնում է սույն կարգի 1-ին </w:t>
      </w:r>
      <w:r w:rsidR="008D2E2F" w:rsidRPr="001E11ED">
        <w:rPr>
          <w:sz w:val="24"/>
          <w:szCs w:val="24"/>
          <w:lang w:val="hy-AM"/>
        </w:rPr>
        <w:t xml:space="preserve">կետով նախատեսված ծանուցումը </w:t>
      </w:r>
      <w:r w:rsidR="00C45F0D" w:rsidRPr="001E11ED">
        <w:rPr>
          <w:sz w:val="24"/>
          <w:szCs w:val="24"/>
          <w:lang w:val="hy-AM"/>
        </w:rPr>
        <w:t>թղթային կամ էլեկտրոնային տարբերակով ստանալուց հետո</w:t>
      </w:r>
      <w:r w:rsidR="006132E6" w:rsidRPr="001E11ED">
        <w:rPr>
          <w:sz w:val="24"/>
          <w:szCs w:val="24"/>
          <w:lang w:val="hy-AM"/>
        </w:rPr>
        <w:t>՝</w:t>
      </w:r>
      <w:r w:rsidR="00C45F0D" w:rsidRPr="001E11ED">
        <w:rPr>
          <w:sz w:val="24"/>
          <w:szCs w:val="24"/>
          <w:lang w:val="hy-AM"/>
        </w:rPr>
        <w:t xml:space="preserve"> մեկօրյա ժամկետում</w:t>
      </w:r>
      <w:r w:rsidR="008D2E2F" w:rsidRPr="001E11ED">
        <w:rPr>
          <w:sz w:val="24"/>
          <w:szCs w:val="24"/>
          <w:lang w:val="hy-AM"/>
        </w:rPr>
        <w:t xml:space="preserve">՝ այդ մասին գրառում կատարելով պետական </w:t>
      </w:r>
      <w:r w:rsidR="00A43B1D">
        <w:rPr>
          <w:sz w:val="24"/>
          <w:szCs w:val="24"/>
          <w:lang w:val="hy-AM"/>
        </w:rPr>
        <w:t>միասնական</w:t>
      </w:r>
      <w:r w:rsidR="008D2E2F" w:rsidRPr="001E11ED">
        <w:rPr>
          <w:sz w:val="24"/>
          <w:szCs w:val="24"/>
          <w:lang w:val="hy-AM"/>
        </w:rPr>
        <w:t xml:space="preserve"> գրանցամատյանում</w:t>
      </w:r>
      <w:r w:rsidR="000E619A" w:rsidRPr="001E11ED">
        <w:rPr>
          <w:sz w:val="24"/>
          <w:szCs w:val="24"/>
          <w:lang w:val="hy-AM"/>
        </w:rPr>
        <w:t xml:space="preserve"> </w:t>
      </w:r>
      <w:r w:rsidR="006417DB">
        <w:rPr>
          <w:sz w:val="24"/>
          <w:szCs w:val="24"/>
          <w:lang w:val="hy-AM"/>
        </w:rPr>
        <w:t>և</w:t>
      </w:r>
      <w:r w:rsidR="008D2E2F" w:rsidRPr="001E11ED">
        <w:rPr>
          <w:sz w:val="24"/>
          <w:szCs w:val="24"/>
          <w:lang w:val="hy-AM"/>
        </w:rPr>
        <w:t xml:space="preserve"> </w:t>
      </w:r>
      <w:r w:rsidR="006417DB" w:rsidRPr="001E11ED">
        <w:rPr>
          <w:sz w:val="24"/>
          <w:szCs w:val="24"/>
          <w:lang w:val="hy-AM"/>
        </w:rPr>
        <w:t xml:space="preserve">պայմանագրային ներդրումային </w:t>
      </w:r>
      <w:r w:rsidR="008D2E2F" w:rsidRPr="001E11ED">
        <w:rPr>
          <w:sz w:val="24"/>
          <w:szCs w:val="24"/>
          <w:lang w:val="hy-AM"/>
        </w:rPr>
        <w:t>ֆոնդին տալով պետական հաշվառման հերթական համար</w:t>
      </w:r>
      <w:r w:rsidR="006417DB">
        <w:rPr>
          <w:sz w:val="24"/>
          <w:szCs w:val="24"/>
          <w:lang w:val="hy-AM"/>
        </w:rPr>
        <w:t>:</w:t>
      </w:r>
    </w:p>
    <w:p w:rsidR="00630B9A" w:rsidRPr="001E11ED" w:rsidRDefault="006417DB" w:rsidP="006417DB">
      <w:pPr>
        <w:pStyle w:val="ListParagraph"/>
        <w:numPr>
          <w:ilvl w:val="0"/>
          <w:numId w:val="4"/>
        </w:numPr>
        <w:tabs>
          <w:tab w:val="left" w:pos="1080"/>
        </w:tabs>
        <w:spacing w:line="360" w:lineRule="auto"/>
        <w:ind w:left="0" w:firstLine="720"/>
        <w:jc w:val="both"/>
        <w:rPr>
          <w:sz w:val="24"/>
          <w:szCs w:val="24"/>
          <w:lang w:val="hy-AM"/>
        </w:rPr>
      </w:pPr>
      <w:r>
        <w:rPr>
          <w:sz w:val="24"/>
          <w:szCs w:val="24"/>
          <w:lang w:val="hy-AM"/>
        </w:rPr>
        <w:t>Գործակալության</w:t>
      </w:r>
      <w:r w:rsidRPr="006417DB">
        <w:rPr>
          <w:sz w:val="24"/>
          <w:szCs w:val="24"/>
          <w:lang w:val="hy-AM"/>
        </w:rPr>
        <w:t xml:space="preserve"> պետական միասնական գրանցամատյանում</w:t>
      </w:r>
      <w:r w:rsidR="00630B9A" w:rsidRPr="001E11ED">
        <w:rPr>
          <w:sz w:val="24"/>
          <w:szCs w:val="24"/>
          <w:lang w:val="hy-AM"/>
        </w:rPr>
        <w:t xml:space="preserve"> գրառվում են հետևյալ տեղեկությ</w:t>
      </w:r>
      <w:r w:rsidR="003859CA">
        <w:rPr>
          <w:sz w:val="24"/>
          <w:szCs w:val="24"/>
          <w:lang w:val="hy-AM"/>
        </w:rPr>
        <w:t>ունները.</w:t>
      </w:r>
    </w:p>
    <w:p w:rsidR="004E66AD" w:rsidRPr="001E11ED" w:rsidRDefault="006132E6" w:rsidP="006417DB">
      <w:pPr>
        <w:pStyle w:val="ListParagraph"/>
        <w:numPr>
          <w:ilvl w:val="0"/>
          <w:numId w:val="6"/>
        </w:numPr>
        <w:tabs>
          <w:tab w:val="left" w:pos="1080"/>
        </w:tabs>
        <w:spacing w:line="360" w:lineRule="auto"/>
        <w:ind w:left="0" w:firstLine="720"/>
        <w:jc w:val="both"/>
        <w:rPr>
          <w:sz w:val="24"/>
          <w:szCs w:val="24"/>
          <w:lang w:val="hy-AM"/>
        </w:rPr>
      </w:pPr>
      <w:r w:rsidRPr="001E11ED">
        <w:rPr>
          <w:sz w:val="24"/>
          <w:szCs w:val="24"/>
          <w:lang w:val="hy-AM"/>
        </w:rPr>
        <w:t>պայմանագրային ներդրումային ֆոնդի լրիվ անվանումը</w:t>
      </w:r>
      <w:r w:rsidR="006417DB">
        <w:rPr>
          <w:sz w:val="24"/>
          <w:szCs w:val="24"/>
          <w:lang w:val="hy-AM"/>
        </w:rPr>
        <w:t>.</w:t>
      </w:r>
    </w:p>
    <w:p w:rsidR="004E66AD" w:rsidRPr="001E11ED" w:rsidRDefault="004E66AD" w:rsidP="006417DB">
      <w:pPr>
        <w:pStyle w:val="ListParagraph"/>
        <w:numPr>
          <w:ilvl w:val="0"/>
          <w:numId w:val="6"/>
        </w:numPr>
        <w:tabs>
          <w:tab w:val="left" w:pos="1080"/>
        </w:tabs>
        <w:spacing w:line="360" w:lineRule="auto"/>
        <w:ind w:left="0" w:firstLine="720"/>
        <w:jc w:val="both"/>
        <w:rPr>
          <w:sz w:val="24"/>
          <w:szCs w:val="24"/>
          <w:lang w:val="hy-AM"/>
        </w:rPr>
      </w:pPr>
      <w:r w:rsidRPr="001E11ED">
        <w:rPr>
          <w:sz w:val="24"/>
          <w:szCs w:val="24"/>
          <w:lang w:val="hy-AM"/>
        </w:rPr>
        <w:t xml:space="preserve">պայմանագրային ներդրումային ֆոնդի </w:t>
      </w:r>
      <w:r w:rsidR="008C7EFA" w:rsidRPr="001E11ED">
        <w:rPr>
          <w:sz w:val="24"/>
          <w:szCs w:val="24"/>
          <w:lang w:val="hy-AM"/>
        </w:rPr>
        <w:t xml:space="preserve">կանոնների </w:t>
      </w:r>
      <w:r w:rsidRPr="001E11ED">
        <w:rPr>
          <w:sz w:val="24"/>
          <w:szCs w:val="24"/>
          <w:lang w:val="hy-AM"/>
        </w:rPr>
        <w:t>գրանցման վկայականի համարը</w:t>
      </w:r>
      <w:r w:rsidR="006417DB">
        <w:rPr>
          <w:sz w:val="24"/>
          <w:szCs w:val="24"/>
          <w:lang w:val="hy-AM"/>
        </w:rPr>
        <w:t>.</w:t>
      </w:r>
    </w:p>
    <w:p w:rsidR="005E6170" w:rsidRPr="001E11ED" w:rsidRDefault="00630B9A" w:rsidP="006417DB">
      <w:pPr>
        <w:pStyle w:val="ListParagraph"/>
        <w:numPr>
          <w:ilvl w:val="0"/>
          <w:numId w:val="6"/>
        </w:numPr>
        <w:tabs>
          <w:tab w:val="left" w:pos="1080"/>
        </w:tabs>
        <w:spacing w:line="360" w:lineRule="auto"/>
        <w:ind w:left="0" w:firstLine="720"/>
        <w:jc w:val="both"/>
        <w:rPr>
          <w:sz w:val="24"/>
          <w:szCs w:val="24"/>
          <w:lang w:val="hy-AM"/>
        </w:rPr>
      </w:pPr>
      <w:r w:rsidRPr="001E11ED">
        <w:rPr>
          <w:sz w:val="24"/>
          <w:szCs w:val="24"/>
          <w:lang w:val="hy-AM"/>
        </w:rPr>
        <w:t>պայմանագրային ներդրումային ֆոնդի պետական հաշվառման համարը</w:t>
      </w:r>
      <w:r w:rsidR="006417DB">
        <w:rPr>
          <w:sz w:val="24"/>
          <w:szCs w:val="24"/>
          <w:lang w:val="hy-AM"/>
        </w:rPr>
        <w:t>.</w:t>
      </w:r>
    </w:p>
    <w:p w:rsidR="00630B9A" w:rsidRPr="001E11ED" w:rsidRDefault="00630B9A" w:rsidP="006417DB">
      <w:pPr>
        <w:pStyle w:val="ListParagraph"/>
        <w:numPr>
          <w:ilvl w:val="0"/>
          <w:numId w:val="6"/>
        </w:numPr>
        <w:tabs>
          <w:tab w:val="left" w:pos="1080"/>
        </w:tabs>
        <w:spacing w:line="360" w:lineRule="auto"/>
        <w:ind w:left="0" w:firstLine="720"/>
        <w:jc w:val="both"/>
        <w:rPr>
          <w:sz w:val="24"/>
          <w:szCs w:val="24"/>
          <w:lang w:val="hy-AM"/>
        </w:rPr>
      </w:pPr>
      <w:r w:rsidRPr="001E11ED">
        <w:rPr>
          <w:sz w:val="24"/>
          <w:szCs w:val="24"/>
          <w:lang w:val="hy-AM"/>
        </w:rPr>
        <w:t>պետական հաշվառման տարին, ամիսը, ամսաթիվը</w:t>
      </w:r>
      <w:r w:rsidR="006417DB">
        <w:rPr>
          <w:sz w:val="24"/>
          <w:szCs w:val="24"/>
          <w:lang w:val="hy-AM"/>
        </w:rPr>
        <w:t>.</w:t>
      </w:r>
    </w:p>
    <w:p w:rsidR="00630B9A" w:rsidRPr="001E11ED" w:rsidRDefault="00630B9A" w:rsidP="006417DB">
      <w:pPr>
        <w:pStyle w:val="ListParagraph"/>
        <w:numPr>
          <w:ilvl w:val="0"/>
          <w:numId w:val="6"/>
        </w:numPr>
        <w:tabs>
          <w:tab w:val="left" w:pos="1080"/>
        </w:tabs>
        <w:spacing w:line="360" w:lineRule="auto"/>
        <w:ind w:left="0" w:firstLine="720"/>
        <w:jc w:val="both"/>
        <w:rPr>
          <w:sz w:val="24"/>
          <w:szCs w:val="24"/>
          <w:lang w:val="hy-AM"/>
        </w:rPr>
      </w:pPr>
      <w:r w:rsidRPr="001E11ED">
        <w:rPr>
          <w:sz w:val="24"/>
          <w:szCs w:val="24"/>
          <w:lang w:val="hy-AM"/>
        </w:rPr>
        <w:lastRenderedPageBreak/>
        <w:t xml:space="preserve">պայմանագրային ներդրումային ֆոնդի կառավարչի </w:t>
      </w:r>
      <w:r w:rsidR="00C64089" w:rsidRPr="001E11ED">
        <w:rPr>
          <w:sz w:val="24"/>
          <w:szCs w:val="24"/>
          <w:lang w:val="hy-AM"/>
        </w:rPr>
        <w:t xml:space="preserve">լրիվ ֆիրմային անվանումը </w:t>
      </w:r>
      <w:r w:rsidR="006417DB">
        <w:rPr>
          <w:sz w:val="24"/>
          <w:szCs w:val="24"/>
          <w:lang w:val="hy-AM"/>
        </w:rPr>
        <w:t>և</w:t>
      </w:r>
      <w:r w:rsidR="00C64089" w:rsidRPr="001E11ED">
        <w:rPr>
          <w:sz w:val="24"/>
          <w:szCs w:val="24"/>
          <w:lang w:val="hy-AM"/>
        </w:rPr>
        <w:t xml:space="preserve"> գտնվելու վայրը</w:t>
      </w:r>
      <w:r w:rsidR="003859CA">
        <w:rPr>
          <w:sz w:val="24"/>
          <w:szCs w:val="24"/>
          <w:lang w:val="hy-AM"/>
        </w:rPr>
        <w:t>.</w:t>
      </w:r>
    </w:p>
    <w:p w:rsidR="003F5A25" w:rsidRDefault="00B618B8" w:rsidP="002A43C1">
      <w:pPr>
        <w:pStyle w:val="ListParagraph"/>
        <w:numPr>
          <w:ilvl w:val="0"/>
          <w:numId w:val="6"/>
        </w:numPr>
        <w:tabs>
          <w:tab w:val="left" w:pos="1080"/>
        </w:tabs>
        <w:spacing w:line="360" w:lineRule="auto"/>
        <w:ind w:left="0" w:firstLine="720"/>
        <w:jc w:val="both"/>
        <w:rPr>
          <w:sz w:val="24"/>
          <w:szCs w:val="24"/>
          <w:lang w:val="hy-AM"/>
        </w:rPr>
      </w:pPr>
      <w:r w:rsidRPr="003859CA">
        <w:rPr>
          <w:sz w:val="24"/>
          <w:szCs w:val="24"/>
          <w:lang w:val="hy-AM"/>
        </w:rPr>
        <w:t xml:space="preserve">պայմանագրային ներդրումային ֆոնդի </w:t>
      </w:r>
      <w:r w:rsidR="00A57761">
        <w:rPr>
          <w:sz w:val="24"/>
          <w:szCs w:val="24"/>
        </w:rPr>
        <w:t>կանոնների</w:t>
      </w:r>
      <w:r w:rsidR="00A57761" w:rsidRPr="003859CA">
        <w:rPr>
          <w:sz w:val="24"/>
          <w:szCs w:val="24"/>
          <w:lang w:val="hy-AM"/>
        </w:rPr>
        <w:t xml:space="preserve"> </w:t>
      </w:r>
      <w:r w:rsidRPr="003859CA">
        <w:rPr>
          <w:sz w:val="24"/>
          <w:szCs w:val="24"/>
          <w:lang w:val="hy-AM"/>
        </w:rPr>
        <w:t xml:space="preserve">գրանցման մասին </w:t>
      </w:r>
      <w:r w:rsidR="00630B9A" w:rsidRPr="003859CA">
        <w:rPr>
          <w:sz w:val="24"/>
          <w:szCs w:val="24"/>
          <w:lang w:val="hy-AM"/>
        </w:rPr>
        <w:t xml:space="preserve">Հայաստանի Հանրապետության կենտրոնական բանկի խորհրդի </w:t>
      </w:r>
      <w:r w:rsidR="0050775B" w:rsidRPr="003859CA">
        <w:rPr>
          <w:sz w:val="24"/>
          <w:szCs w:val="24"/>
          <w:lang w:val="hy-AM"/>
        </w:rPr>
        <w:t>որոշման</w:t>
      </w:r>
      <w:r w:rsidRPr="003859CA">
        <w:rPr>
          <w:sz w:val="24"/>
          <w:szCs w:val="24"/>
          <w:lang w:val="hy-AM"/>
        </w:rPr>
        <w:t xml:space="preserve"> ընդունման տարին, ամիսը, ամսաթիվը </w:t>
      </w:r>
      <w:r w:rsidR="006417DB" w:rsidRPr="003859CA">
        <w:rPr>
          <w:sz w:val="24"/>
          <w:szCs w:val="24"/>
          <w:lang w:val="hy-AM"/>
        </w:rPr>
        <w:t>և</w:t>
      </w:r>
      <w:r w:rsidR="0050775B" w:rsidRPr="003859CA">
        <w:rPr>
          <w:sz w:val="24"/>
          <w:szCs w:val="24"/>
          <w:lang w:val="hy-AM"/>
        </w:rPr>
        <w:t xml:space="preserve"> համարը</w:t>
      </w:r>
      <w:r w:rsidR="00630B9A" w:rsidRPr="003859CA">
        <w:rPr>
          <w:sz w:val="24"/>
          <w:szCs w:val="24"/>
          <w:lang w:val="hy-AM"/>
        </w:rPr>
        <w:t>:</w:t>
      </w:r>
    </w:p>
    <w:p w:rsidR="003F5A25" w:rsidRPr="003F5A25" w:rsidRDefault="003F5A25" w:rsidP="003F5A25">
      <w:pPr>
        <w:jc w:val="center"/>
        <w:rPr>
          <w:rFonts w:cs="Sylfaen"/>
          <w:b/>
          <w:sz w:val="24"/>
          <w:szCs w:val="24"/>
          <w:lang w:val="hy-AM"/>
        </w:rPr>
      </w:pPr>
      <w:r>
        <w:rPr>
          <w:sz w:val="24"/>
          <w:szCs w:val="24"/>
          <w:lang w:val="hy-AM"/>
        </w:rPr>
        <w:br w:type="page"/>
      </w:r>
      <w:r w:rsidRPr="003F5A25">
        <w:rPr>
          <w:rFonts w:cs="Sylfaen"/>
          <w:b/>
          <w:sz w:val="24"/>
          <w:szCs w:val="24"/>
          <w:lang w:val="hy-AM"/>
        </w:rPr>
        <w:lastRenderedPageBreak/>
        <w:t>Հ</w:t>
      </w:r>
      <w:r w:rsidRPr="003F5A25">
        <w:rPr>
          <w:rFonts w:cs="Times Armenian"/>
          <w:b/>
          <w:sz w:val="24"/>
          <w:szCs w:val="24"/>
          <w:lang w:val="hy-AM"/>
        </w:rPr>
        <w:t xml:space="preserve"> </w:t>
      </w:r>
      <w:r w:rsidRPr="003F5A25">
        <w:rPr>
          <w:rFonts w:cs="Sylfaen"/>
          <w:b/>
          <w:sz w:val="24"/>
          <w:szCs w:val="24"/>
          <w:lang w:val="hy-AM"/>
        </w:rPr>
        <w:t>Ի</w:t>
      </w:r>
      <w:r w:rsidRPr="003F5A25">
        <w:rPr>
          <w:rFonts w:cs="Times Armenian"/>
          <w:b/>
          <w:sz w:val="24"/>
          <w:szCs w:val="24"/>
          <w:lang w:val="hy-AM"/>
        </w:rPr>
        <w:t xml:space="preserve"> </w:t>
      </w:r>
      <w:r w:rsidRPr="003F5A25">
        <w:rPr>
          <w:rFonts w:cs="Sylfaen"/>
          <w:b/>
          <w:sz w:val="24"/>
          <w:szCs w:val="24"/>
          <w:lang w:val="hy-AM"/>
        </w:rPr>
        <w:t>Մ</w:t>
      </w:r>
      <w:r w:rsidRPr="003F5A25">
        <w:rPr>
          <w:rFonts w:cs="Times Armenian"/>
          <w:b/>
          <w:sz w:val="24"/>
          <w:szCs w:val="24"/>
          <w:lang w:val="hy-AM"/>
        </w:rPr>
        <w:t xml:space="preserve"> </w:t>
      </w:r>
      <w:r w:rsidRPr="003F5A25">
        <w:rPr>
          <w:rFonts w:cs="Sylfaen"/>
          <w:b/>
          <w:sz w:val="24"/>
          <w:szCs w:val="24"/>
          <w:lang w:val="hy-AM"/>
        </w:rPr>
        <w:t>Ն</w:t>
      </w:r>
      <w:r w:rsidRPr="003F5A25">
        <w:rPr>
          <w:rFonts w:cs="Times Armenian"/>
          <w:b/>
          <w:sz w:val="24"/>
          <w:szCs w:val="24"/>
          <w:lang w:val="hy-AM"/>
        </w:rPr>
        <w:t xml:space="preserve"> </w:t>
      </w:r>
      <w:r w:rsidRPr="003F5A25">
        <w:rPr>
          <w:rFonts w:cs="Sylfaen"/>
          <w:b/>
          <w:sz w:val="24"/>
          <w:szCs w:val="24"/>
          <w:lang w:val="hy-AM"/>
        </w:rPr>
        <w:t>Ա</w:t>
      </w:r>
      <w:r w:rsidRPr="003F5A25">
        <w:rPr>
          <w:rFonts w:cs="Times Armenian"/>
          <w:b/>
          <w:sz w:val="24"/>
          <w:szCs w:val="24"/>
          <w:lang w:val="hy-AM"/>
        </w:rPr>
        <w:t xml:space="preserve"> </w:t>
      </w:r>
      <w:r w:rsidRPr="003F5A25">
        <w:rPr>
          <w:rFonts w:cs="Sylfaen"/>
          <w:b/>
          <w:sz w:val="24"/>
          <w:szCs w:val="24"/>
          <w:lang w:val="hy-AM"/>
        </w:rPr>
        <w:t>Վ</w:t>
      </w:r>
      <w:r w:rsidRPr="003F5A25">
        <w:rPr>
          <w:rFonts w:cs="Times Armenian"/>
          <w:b/>
          <w:sz w:val="24"/>
          <w:szCs w:val="24"/>
          <w:lang w:val="hy-AM"/>
        </w:rPr>
        <w:t xml:space="preserve"> </w:t>
      </w:r>
      <w:r w:rsidRPr="003F5A25">
        <w:rPr>
          <w:rFonts w:cs="Sylfaen"/>
          <w:b/>
          <w:sz w:val="24"/>
          <w:szCs w:val="24"/>
          <w:lang w:val="hy-AM"/>
        </w:rPr>
        <w:t>Ո</w:t>
      </w:r>
      <w:r w:rsidRPr="003F5A25">
        <w:rPr>
          <w:rFonts w:cs="Times Armenian"/>
          <w:b/>
          <w:sz w:val="24"/>
          <w:szCs w:val="24"/>
          <w:lang w:val="hy-AM"/>
        </w:rPr>
        <w:t xml:space="preserve"> </w:t>
      </w:r>
      <w:r w:rsidRPr="003F5A25">
        <w:rPr>
          <w:rFonts w:cs="Sylfaen"/>
          <w:b/>
          <w:sz w:val="24"/>
          <w:szCs w:val="24"/>
          <w:lang w:val="hy-AM"/>
        </w:rPr>
        <w:t>Ր</w:t>
      </w:r>
      <w:r w:rsidRPr="003F5A25">
        <w:rPr>
          <w:rFonts w:cs="Times Armenian"/>
          <w:b/>
          <w:sz w:val="24"/>
          <w:szCs w:val="24"/>
          <w:lang w:val="hy-AM"/>
        </w:rPr>
        <w:t xml:space="preserve"> </w:t>
      </w:r>
      <w:r w:rsidRPr="003F5A25">
        <w:rPr>
          <w:rFonts w:cs="Sylfaen"/>
          <w:b/>
          <w:sz w:val="24"/>
          <w:szCs w:val="24"/>
          <w:lang w:val="hy-AM"/>
        </w:rPr>
        <w:t>ՈՒ</w:t>
      </w:r>
      <w:r w:rsidRPr="003F5A25">
        <w:rPr>
          <w:rFonts w:cs="Times Armenian"/>
          <w:b/>
          <w:sz w:val="24"/>
          <w:szCs w:val="24"/>
          <w:lang w:val="hy-AM"/>
        </w:rPr>
        <w:t xml:space="preserve"> </w:t>
      </w:r>
      <w:r w:rsidRPr="003F5A25">
        <w:rPr>
          <w:rFonts w:cs="Sylfaen"/>
          <w:b/>
          <w:sz w:val="24"/>
          <w:szCs w:val="24"/>
          <w:lang w:val="hy-AM"/>
        </w:rPr>
        <w:t>Մ</w:t>
      </w:r>
    </w:p>
    <w:p w:rsidR="003F5A25" w:rsidRPr="00DB172A" w:rsidRDefault="003F5A25" w:rsidP="003F5A25">
      <w:pPr>
        <w:autoSpaceDE w:val="0"/>
        <w:autoSpaceDN w:val="0"/>
        <w:adjustRightInd w:val="0"/>
        <w:jc w:val="center"/>
        <w:rPr>
          <w:sz w:val="24"/>
          <w:szCs w:val="24"/>
          <w:lang w:val="hy-AM"/>
        </w:rPr>
      </w:pPr>
      <w:r w:rsidRPr="003F5A25">
        <w:rPr>
          <w:sz w:val="24"/>
          <w:szCs w:val="24"/>
          <w:lang w:val="hy-AM"/>
        </w:rPr>
        <w:t>«ՊԱՅՄԱՆԱԳՐԱՅԻՆ ՆԵՐԴՐՈՒՄԱՅԻՆ ՖՈՆԴԵՐԻ ՊԵՏԱԿԱՆ ՀԱՇՎԱՌՄԱՆ ԿԱՐԳԸ ՀԱՍՏԱՏԵԼՈՒ ՄԱՍԻՆ</w:t>
      </w:r>
      <w:r w:rsidRPr="005165F4">
        <w:rPr>
          <w:sz w:val="24"/>
          <w:szCs w:val="24"/>
          <w:lang w:val="hy-AM"/>
        </w:rPr>
        <w:t xml:space="preserve">» </w:t>
      </w:r>
      <w:r w:rsidRPr="00DB172A">
        <w:rPr>
          <w:sz w:val="24"/>
          <w:szCs w:val="24"/>
          <w:lang w:val="hy-AM"/>
        </w:rPr>
        <w:t>ՀԱՅԱUՏԱՆԻ ՀԱՆՐԱՊԵՏՈՒԹՅԱՆ ԿԱՌԱՎԱՐՈՒԹՅԱՆ ՈՐՈՇՄԱՆ ԸՆԴՈՒՆՄԱՆ  ԱՆՀՐԱԺԵՇՏՈՒԹՅԱՆ ՄԱՍԻՆ</w:t>
      </w:r>
    </w:p>
    <w:p w:rsidR="003F5A25" w:rsidRPr="003D4DDD" w:rsidRDefault="003F5A25" w:rsidP="003F5A25">
      <w:pPr>
        <w:jc w:val="center"/>
        <w:rPr>
          <w:rFonts w:cs="Sylfaen"/>
          <w:b/>
          <w:sz w:val="24"/>
          <w:szCs w:val="24"/>
          <w:lang w:val="hy-AM"/>
        </w:rPr>
      </w:pPr>
    </w:p>
    <w:p w:rsidR="003F5A25" w:rsidRPr="000D7A22" w:rsidRDefault="003F5A25" w:rsidP="003F5A25">
      <w:pPr>
        <w:pStyle w:val="BodyText"/>
        <w:ind w:firstLine="708"/>
        <w:jc w:val="both"/>
        <w:outlineLvl w:val="0"/>
        <w:rPr>
          <w:rFonts w:ascii="GHEA Grapalat" w:hAnsi="GHEA Grapalat"/>
          <w:b/>
          <w:u w:val="single"/>
          <w:lang w:val="hy-AM"/>
        </w:rPr>
      </w:pPr>
      <w:r w:rsidRPr="000569A6">
        <w:rPr>
          <w:rFonts w:ascii="GHEA Grapalat" w:hAnsi="GHEA Grapalat"/>
          <w:b/>
          <w:u w:val="single"/>
          <w:lang w:val="hy-AM"/>
        </w:rPr>
        <w:t>Իրավական ակտերի ընդունման անհրաժեշտությունը</w:t>
      </w:r>
    </w:p>
    <w:p w:rsidR="003F5A25" w:rsidRPr="005B758A" w:rsidRDefault="003F5A25" w:rsidP="003F5A25">
      <w:pPr>
        <w:pStyle w:val="BodyText"/>
        <w:ind w:firstLine="708"/>
        <w:jc w:val="both"/>
        <w:outlineLvl w:val="0"/>
        <w:rPr>
          <w:rFonts w:ascii="GHEA Grapalat" w:hAnsi="GHEA Grapalat"/>
          <w:lang w:val="hy-AM"/>
        </w:rPr>
      </w:pPr>
      <w:r w:rsidRPr="003F5A25">
        <w:rPr>
          <w:rFonts w:ascii="GHEA Grapalat" w:hAnsi="GHEA Grapalat" w:cs="Sylfaen"/>
          <w:lang w:val="hy-AM"/>
        </w:rPr>
        <w:t>«Պայմանագրային ներդրումային ֆոնդերի պետական հաշվառման կարգը հաստատելու մասին» ՀՀ կառավարության որոշման ընդուն</w:t>
      </w:r>
      <w:r>
        <w:rPr>
          <w:rFonts w:ascii="GHEA Grapalat" w:hAnsi="GHEA Grapalat" w:cs="Sylfaen"/>
          <w:lang w:val="hy-AM"/>
        </w:rPr>
        <w:t>ումը պայմանավորված է</w:t>
      </w:r>
      <w:r w:rsidRPr="005B758A">
        <w:rPr>
          <w:rFonts w:ascii="GHEA Grapalat" w:hAnsi="GHEA Grapalat" w:cs="Sylfaen"/>
          <w:lang w:val="hy-AM"/>
        </w:rPr>
        <w:t xml:space="preserve"> «Իրավաբանական</w:t>
      </w:r>
      <w:r w:rsidRPr="005B758A">
        <w:rPr>
          <w:rFonts w:ascii="GHEA Grapalat" w:hAnsi="GHEA Grapalat" w:cs="Times Armenian"/>
          <w:lang w:val="hy-AM"/>
        </w:rPr>
        <w:t xml:space="preserve"> </w:t>
      </w:r>
      <w:r w:rsidRPr="005B758A">
        <w:rPr>
          <w:rFonts w:ascii="GHEA Grapalat" w:hAnsi="GHEA Grapalat" w:cs="Sylfaen"/>
          <w:lang w:val="hy-AM"/>
        </w:rPr>
        <w:t>անձանց</w:t>
      </w:r>
      <w:r w:rsidRPr="005B758A">
        <w:rPr>
          <w:rFonts w:ascii="GHEA Grapalat" w:hAnsi="GHEA Grapalat" w:cs="Times Armenian"/>
          <w:lang w:val="hy-AM"/>
        </w:rPr>
        <w:t xml:space="preserve"> </w:t>
      </w:r>
      <w:r w:rsidRPr="005B758A">
        <w:rPr>
          <w:rFonts w:ascii="GHEA Grapalat" w:hAnsi="GHEA Grapalat" w:cs="Sylfaen"/>
          <w:lang w:val="hy-AM"/>
        </w:rPr>
        <w:t>պետական</w:t>
      </w:r>
      <w:r w:rsidRPr="005B758A">
        <w:rPr>
          <w:rFonts w:ascii="GHEA Grapalat" w:hAnsi="GHEA Grapalat" w:cs="Times Armenian"/>
          <w:lang w:val="hy-AM"/>
        </w:rPr>
        <w:t xml:space="preserve"> </w:t>
      </w:r>
      <w:r w:rsidRPr="005B758A">
        <w:rPr>
          <w:rFonts w:ascii="GHEA Grapalat" w:hAnsi="GHEA Grapalat" w:cs="Sylfaen"/>
          <w:lang w:val="hy-AM"/>
        </w:rPr>
        <w:t>գրանցման</w:t>
      </w:r>
      <w:r w:rsidRPr="005B758A">
        <w:rPr>
          <w:rFonts w:ascii="GHEA Grapalat" w:hAnsi="GHEA Grapalat" w:cs="Times Armenian"/>
          <w:lang w:val="hy-AM"/>
        </w:rPr>
        <w:t xml:space="preserve">, </w:t>
      </w:r>
      <w:r w:rsidRPr="005B758A">
        <w:rPr>
          <w:rFonts w:ascii="GHEA Grapalat" w:hAnsi="GHEA Grapalat" w:cs="Sylfaen"/>
          <w:lang w:val="hy-AM"/>
        </w:rPr>
        <w:t>իրավաբանական</w:t>
      </w:r>
      <w:r w:rsidRPr="005B758A">
        <w:rPr>
          <w:rFonts w:ascii="GHEA Grapalat" w:hAnsi="GHEA Grapalat" w:cs="Times Armenian"/>
          <w:lang w:val="hy-AM"/>
        </w:rPr>
        <w:t xml:space="preserve"> </w:t>
      </w:r>
      <w:r w:rsidRPr="005B758A">
        <w:rPr>
          <w:rFonts w:ascii="GHEA Grapalat" w:hAnsi="GHEA Grapalat" w:cs="Sylfaen"/>
          <w:lang w:val="hy-AM"/>
        </w:rPr>
        <w:t>անձանց</w:t>
      </w:r>
      <w:r w:rsidRPr="005B758A">
        <w:rPr>
          <w:rFonts w:ascii="GHEA Grapalat" w:hAnsi="GHEA Grapalat" w:cs="Times Armenian"/>
          <w:lang w:val="hy-AM"/>
        </w:rPr>
        <w:t xml:space="preserve"> </w:t>
      </w:r>
      <w:r w:rsidRPr="005B758A">
        <w:rPr>
          <w:rFonts w:ascii="GHEA Grapalat" w:hAnsi="GHEA Grapalat" w:cs="Sylfaen"/>
          <w:lang w:val="hy-AM"/>
        </w:rPr>
        <w:t>առանձնացված</w:t>
      </w:r>
      <w:r w:rsidRPr="005B758A">
        <w:rPr>
          <w:rFonts w:ascii="GHEA Grapalat" w:hAnsi="GHEA Grapalat" w:cs="Times Armenian"/>
          <w:lang w:val="hy-AM"/>
        </w:rPr>
        <w:t xml:space="preserve"> </w:t>
      </w:r>
      <w:r w:rsidRPr="005B758A">
        <w:rPr>
          <w:rFonts w:ascii="GHEA Grapalat" w:hAnsi="GHEA Grapalat" w:cs="Sylfaen"/>
          <w:lang w:val="hy-AM"/>
        </w:rPr>
        <w:t>ստորաբաժանումների</w:t>
      </w:r>
      <w:r w:rsidRPr="005B758A">
        <w:rPr>
          <w:rFonts w:ascii="GHEA Grapalat" w:hAnsi="GHEA Grapalat" w:cs="Times Armenian"/>
          <w:lang w:val="hy-AM"/>
        </w:rPr>
        <w:t xml:space="preserve">, </w:t>
      </w:r>
      <w:r w:rsidRPr="005B758A">
        <w:rPr>
          <w:rFonts w:ascii="GHEA Grapalat" w:hAnsi="GHEA Grapalat" w:cs="Sylfaen"/>
          <w:lang w:val="hy-AM"/>
        </w:rPr>
        <w:t>հիմնարկների</w:t>
      </w:r>
      <w:r w:rsidRPr="005B758A">
        <w:rPr>
          <w:rFonts w:ascii="GHEA Grapalat" w:hAnsi="GHEA Grapalat" w:cs="Times Armenian"/>
          <w:lang w:val="hy-AM"/>
        </w:rPr>
        <w:t xml:space="preserve"> </w:t>
      </w:r>
      <w:r w:rsidRPr="005B758A">
        <w:rPr>
          <w:rFonts w:ascii="GHEA Grapalat" w:hAnsi="GHEA Grapalat" w:cs="Sylfaen"/>
          <w:lang w:val="hy-AM"/>
        </w:rPr>
        <w:t>և</w:t>
      </w:r>
      <w:r w:rsidRPr="005B758A">
        <w:rPr>
          <w:rFonts w:ascii="GHEA Grapalat" w:hAnsi="GHEA Grapalat" w:cs="Times Armenian"/>
          <w:lang w:val="hy-AM"/>
        </w:rPr>
        <w:t xml:space="preserve"> </w:t>
      </w:r>
      <w:r w:rsidRPr="005B758A">
        <w:rPr>
          <w:rFonts w:ascii="GHEA Grapalat" w:hAnsi="GHEA Grapalat" w:cs="Sylfaen"/>
          <w:lang w:val="hy-AM"/>
        </w:rPr>
        <w:t>անհատ</w:t>
      </w:r>
      <w:r w:rsidRPr="005B758A">
        <w:rPr>
          <w:rFonts w:ascii="GHEA Grapalat" w:hAnsi="GHEA Grapalat" w:cs="Times Armenian"/>
          <w:lang w:val="hy-AM"/>
        </w:rPr>
        <w:t xml:space="preserve"> </w:t>
      </w:r>
      <w:r w:rsidRPr="005B758A">
        <w:rPr>
          <w:rFonts w:ascii="GHEA Grapalat" w:hAnsi="GHEA Grapalat" w:cs="Sylfaen"/>
          <w:lang w:val="hy-AM"/>
        </w:rPr>
        <w:t>ձեռնարկատերերի</w:t>
      </w:r>
      <w:r w:rsidRPr="005B758A">
        <w:rPr>
          <w:rFonts w:ascii="GHEA Grapalat" w:hAnsi="GHEA Grapalat" w:cs="Times Armenian"/>
          <w:lang w:val="hy-AM"/>
        </w:rPr>
        <w:t xml:space="preserve"> </w:t>
      </w:r>
      <w:r w:rsidRPr="005B758A">
        <w:rPr>
          <w:rFonts w:ascii="GHEA Grapalat" w:hAnsi="GHEA Grapalat" w:cs="Sylfaen"/>
          <w:lang w:val="hy-AM"/>
        </w:rPr>
        <w:t>պետական</w:t>
      </w:r>
      <w:r w:rsidRPr="005B758A">
        <w:rPr>
          <w:rFonts w:ascii="GHEA Grapalat" w:hAnsi="GHEA Grapalat" w:cs="Times Armenian"/>
          <w:lang w:val="hy-AM"/>
        </w:rPr>
        <w:t xml:space="preserve"> </w:t>
      </w:r>
      <w:r w:rsidRPr="005B758A">
        <w:rPr>
          <w:rFonts w:ascii="GHEA Grapalat" w:hAnsi="GHEA Grapalat" w:cs="Sylfaen"/>
          <w:lang w:val="hy-AM"/>
        </w:rPr>
        <w:t>հաշվառման</w:t>
      </w:r>
      <w:r w:rsidRPr="005B758A">
        <w:rPr>
          <w:rFonts w:ascii="GHEA Grapalat" w:hAnsi="GHEA Grapalat" w:cs="Times Armenian"/>
          <w:lang w:val="hy-AM"/>
        </w:rPr>
        <w:t xml:space="preserve">  </w:t>
      </w:r>
      <w:r w:rsidRPr="005B758A">
        <w:rPr>
          <w:rFonts w:ascii="GHEA Grapalat" w:hAnsi="GHEA Grapalat" w:cs="Sylfaen"/>
          <w:lang w:val="hy-AM"/>
        </w:rPr>
        <w:t xml:space="preserve">մասին» </w:t>
      </w:r>
      <w:r w:rsidRPr="0075313C">
        <w:rPr>
          <w:rFonts w:ascii="GHEA Grapalat" w:hAnsi="GHEA Grapalat"/>
          <w:lang w:val="hy-AM"/>
        </w:rPr>
        <w:t>Հայաստանի Հան</w:t>
      </w:r>
      <w:r w:rsidR="00FC0C6F">
        <w:rPr>
          <w:rFonts w:ascii="GHEA Grapalat" w:hAnsi="GHEA Grapalat"/>
          <w:lang w:val="hy-AM"/>
        </w:rPr>
        <w:t>րապետության օրենքի 1-ին հոդվածի 3-րդ մասով, որի համաձայն պ</w:t>
      </w:r>
      <w:r w:rsidR="00FC0C6F" w:rsidRPr="00FC0C6F">
        <w:rPr>
          <w:rFonts w:ascii="GHEA Grapalat" w:hAnsi="GHEA Grapalat"/>
          <w:lang w:val="hy-AM"/>
        </w:rPr>
        <w:t>այմանագրային ներդրումային ֆոնդերը, որոնց կանոնները «Ներդրումային ֆոնդերի մասին» Հայաստանի Հանրապետության օրենքով սահմանված կարգով գրանցվել են Հայաստանի Հանրապետության կենտրոնական բանկի կողմից, Հայաստանի Հանրապետությունում ենթակա են պետական հաշվառման, որի կարգն ու պայմանները սահմանում է Հայաստանի Հանրապետության կառավարությունը:</w:t>
      </w:r>
      <w:r w:rsidR="003C5620">
        <w:rPr>
          <w:rFonts w:ascii="GHEA Grapalat" w:hAnsi="GHEA Grapalat"/>
          <w:lang w:val="hy-AM"/>
        </w:rPr>
        <w:t xml:space="preserve"> Միաժամանակ, նշված ակտի ընդունման անհրաժեշտությունը բխում է նաև «Ներդրումային ֆոնդերի մասին» ՀՀ օրենքի 21-րդ հոդվածի 7-րդ մասից, որի համաձայն Կ</w:t>
      </w:r>
      <w:r w:rsidR="003C5620" w:rsidRPr="003C5620">
        <w:rPr>
          <w:rFonts w:ascii="GHEA Grapalat" w:hAnsi="GHEA Grapalat"/>
          <w:lang w:val="hy-AM"/>
        </w:rPr>
        <w:t>ենտրոնական բանկը ֆոնդի (ֆոնդի կանոնների) գրանցման մասին որոշումը կայացնելու պահից հինգ աշխատանքային օրվա ընթացքում այդ մասին ծանուցում է իրավաբանական անձանց գրանցումն իրականացնող պետական լիազոր մարմնին` վերջինիս կողմից ֆոնդի (ֆոնդի կանոնների) գրանցման մասին համապատասխան գրառում կատարելու համար:</w:t>
      </w:r>
    </w:p>
    <w:p w:rsidR="003F5A25" w:rsidRDefault="003F5A25" w:rsidP="003F5A25">
      <w:pPr>
        <w:ind w:firstLine="708"/>
        <w:jc w:val="both"/>
        <w:outlineLvl w:val="0"/>
        <w:rPr>
          <w:b/>
          <w:sz w:val="24"/>
          <w:szCs w:val="24"/>
          <w:u w:val="single"/>
        </w:rPr>
      </w:pPr>
      <w:bookmarkStart w:id="0" w:name="_GoBack"/>
      <w:bookmarkEnd w:id="0"/>
      <w:r w:rsidRPr="000569A6">
        <w:rPr>
          <w:b/>
          <w:sz w:val="24"/>
          <w:szCs w:val="24"/>
          <w:u w:val="single"/>
          <w:lang w:val="hy-AM"/>
        </w:rPr>
        <w:t>Ընթացիկ</w:t>
      </w:r>
      <w:r w:rsidRPr="000569A6">
        <w:rPr>
          <w:rFonts w:cs="Times Armenian"/>
          <w:b/>
          <w:sz w:val="24"/>
          <w:szCs w:val="24"/>
          <w:u w:val="single"/>
          <w:lang w:val="hy-AM"/>
        </w:rPr>
        <w:t xml:space="preserve"> </w:t>
      </w:r>
      <w:r w:rsidRPr="000569A6">
        <w:rPr>
          <w:b/>
          <w:sz w:val="24"/>
          <w:szCs w:val="24"/>
          <w:u w:val="single"/>
          <w:lang w:val="hy-AM"/>
        </w:rPr>
        <w:t>իրավիճակը</w:t>
      </w:r>
      <w:r w:rsidRPr="000569A6">
        <w:rPr>
          <w:rFonts w:cs="Times Armenian"/>
          <w:b/>
          <w:sz w:val="24"/>
          <w:szCs w:val="24"/>
          <w:u w:val="single"/>
          <w:lang w:val="hy-AM"/>
        </w:rPr>
        <w:t xml:space="preserve"> </w:t>
      </w:r>
      <w:r w:rsidRPr="000569A6">
        <w:rPr>
          <w:b/>
          <w:sz w:val="24"/>
          <w:szCs w:val="24"/>
          <w:u w:val="single"/>
          <w:lang w:val="hy-AM"/>
        </w:rPr>
        <w:t>և</w:t>
      </w:r>
      <w:r w:rsidRPr="000569A6">
        <w:rPr>
          <w:rFonts w:cs="Times Armenian"/>
          <w:b/>
          <w:sz w:val="24"/>
          <w:szCs w:val="24"/>
          <w:u w:val="single"/>
          <w:lang w:val="hy-AM"/>
        </w:rPr>
        <w:t xml:space="preserve"> </w:t>
      </w:r>
      <w:r w:rsidRPr="000569A6">
        <w:rPr>
          <w:b/>
          <w:sz w:val="24"/>
          <w:szCs w:val="24"/>
          <w:u w:val="single"/>
          <w:lang w:val="hy-AM"/>
        </w:rPr>
        <w:t>խնդիրները</w:t>
      </w:r>
    </w:p>
    <w:p w:rsidR="003F5A25" w:rsidRDefault="003F5A25" w:rsidP="003F5A25">
      <w:pPr>
        <w:spacing w:after="0" w:line="360" w:lineRule="auto"/>
        <w:ind w:firstLine="708"/>
        <w:jc w:val="both"/>
        <w:outlineLvl w:val="0"/>
        <w:rPr>
          <w:rFonts w:cs="Sylfaen"/>
          <w:sz w:val="24"/>
          <w:szCs w:val="24"/>
        </w:rPr>
      </w:pPr>
      <w:r w:rsidRPr="00656530">
        <w:rPr>
          <w:rFonts w:cs="Sylfaen"/>
          <w:sz w:val="24"/>
          <w:szCs w:val="24"/>
          <w:lang w:val="hy-AM"/>
        </w:rPr>
        <w:t>Ներկայումս</w:t>
      </w:r>
      <w:r>
        <w:rPr>
          <w:rFonts w:cs="Sylfaen"/>
          <w:sz w:val="24"/>
          <w:szCs w:val="24"/>
        </w:rPr>
        <w:t xml:space="preserve"> </w:t>
      </w:r>
      <w:r w:rsidR="003C5620">
        <w:rPr>
          <w:sz w:val="24"/>
          <w:szCs w:val="24"/>
          <w:lang w:val="hy-AM"/>
        </w:rPr>
        <w:t>պայմանագրային ն</w:t>
      </w:r>
      <w:r w:rsidR="003C5620" w:rsidRPr="006417DB">
        <w:rPr>
          <w:sz w:val="24"/>
          <w:szCs w:val="24"/>
          <w:lang w:val="hy-AM"/>
        </w:rPr>
        <w:t xml:space="preserve">երդրումային ֆոնդերի պետական հաշվառման </w:t>
      </w:r>
      <w:r w:rsidR="003C5620">
        <w:rPr>
          <w:sz w:val="24"/>
          <w:szCs w:val="24"/>
          <w:lang w:val="hy-AM"/>
        </w:rPr>
        <w:t>կարգ հաստատված չէ, այդ իսկ պատճառով վերջիններիս պետական հաշվառում իրականացնելը հնարավոր չէ:</w:t>
      </w:r>
    </w:p>
    <w:p w:rsidR="003F5A25" w:rsidRPr="00656530" w:rsidRDefault="003F5A25" w:rsidP="003F5A25">
      <w:pPr>
        <w:spacing w:after="0" w:line="360" w:lineRule="auto"/>
        <w:ind w:firstLine="708"/>
        <w:jc w:val="both"/>
        <w:outlineLvl w:val="0"/>
        <w:rPr>
          <w:b/>
          <w:sz w:val="24"/>
          <w:szCs w:val="24"/>
          <w:u w:val="single"/>
          <w:lang w:val="hy-AM"/>
        </w:rPr>
      </w:pPr>
      <w:r w:rsidRPr="00656530">
        <w:rPr>
          <w:b/>
          <w:sz w:val="24"/>
          <w:szCs w:val="24"/>
          <w:u w:val="single"/>
          <w:lang w:val="hy-AM"/>
        </w:rPr>
        <w:lastRenderedPageBreak/>
        <w:t>Կարգավորման</w:t>
      </w:r>
      <w:r w:rsidRPr="00656530">
        <w:rPr>
          <w:rFonts w:cs="Times Armenian"/>
          <w:b/>
          <w:sz w:val="24"/>
          <w:szCs w:val="24"/>
          <w:u w:val="single"/>
          <w:lang w:val="hy-AM"/>
        </w:rPr>
        <w:t xml:space="preserve"> </w:t>
      </w:r>
      <w:r w:rsidRPr="00656530">
        <w:rPr>
          <w:b/>
          <w:sz w:val="24"/>
          <w:szCs w:val="24"/>
          <w:u w:val="single"/>
          <w:lang w:val="hy-AM"/>
        </w:rPr>
        <w:t>նպատակը</w:t>
      </w:r>
      <w:r w:rsidRPr="00656530">
        <w:rPr>
          <w:rFonts w:cs="Times Armenian"/>
          <w:b/>
          <w:sz w:val="24"/>
          <w:szCs w:val="24"/>
          <w:u w:val="single"/>
          <w:lang w:val="hy-AM"/>
        </w:rPr>
        <w:t xml:space="preserve"> </w:t>
      </w:r>
      <w:r w:rsidRPr="00656530">
        <w:rPr>
          <w:b/>
          <w:sz w:val="24"/>
          <w:szCs w:val="24"/>
          <w:u w:val="single"/>
          <w:lang w:val="hy-AM"/>
        </w:rPr>
        <w:t>և</w:t>
      </w:r>
      <w:r w:rsidRPr="00656530">
        <w:rPr>
          <w:rFonts w:cs="Times Armenian"/>
          <w:b/>
          <w:sz w:val="24"/>
          <w:szCs w:val="24"/>
          <w:u w:val="single"/>
          <w:lang w:val="hy-AM"/>
        </w:rPr>
        <w:t xml:space="preserve"> </w:t>
      </w:r>
      <w:r w:rsidRPr="00656530">
        <w:rPr>
          <w:b/>
          <w:sz w:val="24"/>
          <w:szCs w:val="24"/>
          <w:u w:val="single"/>
          <w:lang w:val="hy-AM"/>
        </w:rPr>
        <w:t>ակնկալվող</w:t>
      </w:r>
      <w:r w:rsidRPr="00656530">
        <w:rPr>
          <w:rFonts w:cs="Times Armenian"/>
          <w:b/>
          <w:sz w:val="24"/>
          <w:szCs w:val="24"/>
          <w:u w:val="single"/>
          <w:lang w:val="hy-AM"/>
        </w:rPr>
        <w:t xml:space="preserve"> </w:t>
      </w:r>
      <w:r w:rsidRPr="00656530">
        <w:rPr>
          <w:b/>
          <w:sz w:val="24"/>
          <w:szCs w:val="24"/>
          <w:u w:val="single"/>
          <w:lang w:val="hy-AM"/>
        </w:rPr>
        <w:t>արդյունքը</w:t>
      </w:r>
    </w:p>
    <w:p w:rsidR="003F5A25" w:rsidRPr="00656530" w:rsidRDefault="003F5A25" w:rsidP="003C5620">
      <w:pPr>
        <w:spacing w:after="0" w:line="360" w:lineRule="auto"/>
        <w:ind w:firstLine="720"/>
        <w:jc w:val="both"/>
        <w:outlineLvl w:val="0"/>
        <w:rPr>
          <w:sz w:val="24"/>
          <w:szCs w:val="24"/>
          <w:lang w:val="hy-AM"/>
        </w:rPr>
      </w:pPr>
      <w:r w:rsidRPr="00656530">
        <w:rPr>
          <w:sz w:val="24"/>
          <w:szCs w:val="24"/>
          <w:lang w:val="hy-AM"/>
        </w:rPr>
        <w:t xml:space="preserve">Նշված նախագծով առաջարկվում է </w:t>
      </w:r>
      <w:r w:rsidR="003C5620">
        <w:rPr>
          <w:sz w:val="24"/>
          <w:szCs w:val="24"/>
          <w:lang w:val="hy-AM"/>
        </w:rPr>
        <w:t xml:space="preserve">սահմանել </w:t>
      </w:r>
      <w:r w:rsidRPr="00656530">
        <w:rPr>
          <w:sz w:val="24"/>
          <w:szCs w:val="24"/>
          <w:lang w:val="hy-AM"/>
        </w:rPr>
        <w:t xml:space="preserve"> </w:t>
      </w:r>
      <w:r w:rsidR="003C5620" w:rsidRPr="00656530">
        <w:rPr>
          <w:rFonts w:cs="Sylfaen"/>
          <w:sz w:val="24"/>
          <w:szCs w:val="24"/>
          <w:lang w:val="hy-AM"/>
        </w:rPr>
        <w:t>Ներկայումս</w:t>
      </w:r>
      <w:r w:rsidR="003C5620">
        <w:rPr>
          <w:rFonts w:cs="Sylfaen"/>
          <w:sz w:val="24"/>
          <w:szCs w:val="24"/>
        </w:rPr>
        <w:t xml:space="preserve"> </w:t>
      </w:r>
      <w:r w:rsidR="003C5620">
        <w:rPr>
          <w:sz w:val="24"/>
          <w:szCs w:val="24"/>
          <w:lang w:val="hy-AM"/>
        </w:rPr>
        <w:t>պայմանագրային ն</w:t>
      </w:r>
      <w:r w:rsidR="003C5620" w:rsidRPr="006417DB">
        <w:rPr>
          <w:sz w:val="24"/>
          <w:szCs w:val="24"/>
          <w:lang w:val="hy-AM"/>
        </w:rPr>
        <w:t>երդրումային ֆոնդերի պետական հաշվառման</w:t>
      </w:r>
      <w:r w:rsidR="003C5620" w:rsidRPr="00656530">
        <w:rPr>
          <w:sz w:val="24"/>
          <w:szCs w:val="24"/>
          <w:lang w:val="hy-AM"/>
        </w:rPr>
        <w:t xml:space="preserve"> </w:t>
      </w:r>
      <w:r w:rsidR="003C5620">
        <w:rPr>
          <w:sz w:val="24"/>
          <w:szCs w:val="24"/>
          <w:lang w:val="hy-AM"/>
        </w:rPr>
        <w:t>պայմաններն ու ընթացակարգը, որը հնարավորություն կտա գործակալության կողմից իրականացնելու պայմանագրային ներդրումային ֆոնդերի պետական հաշվառումը:</w:t>
      </w:r>
    </w:p>
    <w:p w:rsidR="003F5A25" w:rsidRDefault="003F5A25" w:rsidP="003F5A25">
      <w:pPr>
        <w:jc w:val="center"/>
        <w:rPr>
          <w:sz w:val="24"/>
          <w:szCs w:val="24"/>
          <w:lang w:val="hy-AM"/>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A819B5" w:rsidRDefault="00A819B5" w:rsidP="003F5A25">
      <w:pPr>
        <w:jc w:val="center"/>
        <w:rPr>
          <w:sz w:val="24"/>
          <w:szCs w:val="24"/>
        </w:rPr>
      </w:pPr>
    </w:p>
    <w:p w:rsidR="003F5A25" w:rsidRPr="00A819B5" w:rsidRDefault="003F5A25" w:rsidP="003F5A25">
      <w:pPr>
        <w:jc w:val="center"/>
        <w:rPr>
          <w:b/>
          <w:sz w:val="24"/>
          <w:szCs w:val="24"/>
          <w:lang w:val="hy-AM"/>
        </w:rPr>
      </w:pPr>
      <w:r w:rsidRPr="00A819B5">
        <w:rPr>
          <w:b/>
          <w:sz w:val="24"/>
          <w:szCs w:val="24"/>
          <w:lang w:val="hy-AM"/>
        </w:rPr>
        <w:lastRenderedPageBreak/>
        <w:t>ՏԵՂԵԿԱՆՔ N 1</w:t>
      </w:r>
    </w:p>
    <w:p w:rsidR="003F5A25" w:rsidRPr="00DB172A" w:rsidRDefault="003F5A25" w:rsidP="003F5A25">
      <w:pPr>
        <w:autoSpaceDE w:val="0"/>
        <w:autoSpaceDN w:val="0"/>
        <w:adjustRightInd w:val="0"/>
        <w:jc w:val="center"/>
        <w:rPr>
          <w:sz w:val="24"/>
          <w:szCs w:val="24"/>
          <w:lang w:val="hy-AM"/>
        </w:rPr>
      </w:pPr>
      <w:r w:rsidRPr="003F5A25">
        <w:rPr>
          <w:sz w:val="24"/>
          <w:szCs w:val="24"/>
          <w:lang w:val="hy-AM"/>
        </w:rPr>
        <w:t>«ՊԱՅՄԱՆԱԳՐԱՅԻՆ ՆԵՐԴՐՈՒՄԱՅԻՆ ՖՈՆԴԵՐԻ ՊԵՏԱԿԱՆ ՀԱՇՎԱՌՄԱՆ ԿԱՐԳԸ ՀԱՍՏԱՏԵԼՈՒ ՄԱՍԻՆ</w:t>
      </w:r>
      <w:r w:rsidRPr="005165F4">
        <w:rPr>
          <w:sz w:val="24"/>
          <w:szCs w:val="24"/>
          <w:lang w:val="hy-AM"/>
        </w:rPr>
        <w:t>»</w:t>
      </w:r>
      <w:r>
        <w:rPr>
          <w:sz w:val="24"/>
          <w:szCs w:val="24"/>
          <w:lang w:val="hy-AM"/>
        </w:rPr>
        <w:t xml:space="preserve">   </w:t>
      </w:r>
      <w:r w:rsidRPr="00DB172A">
        <w:rPr>
          <w:sz w:val="24"/>
          <w:szCs w:val="24"/>
          <w:lang w:val="hy-AM"/>
        </w:rPr>
        <w:t>ՀԱՅԱUՏԱՆԻ ՀԱՆՐԱՊԵՏՈՒԹՅԱՆ ԿԱՌԱՎԱՐՈՒԹՅԱՆ ՈՐՈՇՄԱՆ ԸՆԴՈՒՆՄԱՆ ԿԱՊԱԿՑՈՒԹՅԱՄԲ ԱՅԼ ԻՐԱՎԱԿԱՆ ԱԿՏԵՐԻ ԸՆԴՈՒՆՄԱՆ ԱՆՀՐԱԺԵՇՏՈՒԹՅԱՆ ՄԱՍԻՆ</w:t>
      </w:r>
    </w:p>
    <w:p w:rsidR="003F5A25" w:rsidRPr="00DB172A" w:rsidRDefault="003F5A25" w:rsidP="003F5A25">
      <w:pPr>
        <w:rPr>
          <w:sz w:val="24"/>
          <w:szCs w:val="24"/>
          <w:lang w:val="hy-AM"/>
        </w:rPr>
      </w:pPr>
    </w:p>
    <w:p w:rsidR="003F5A25" w:rsidRPr="00FE7AEE" w:rsidRDefault="003F5A25" w:rsidP="003F5A25">
      <w:pPr>
        <w:spacing w:line="360" w:lineRule="auto"/>
        <w:ind w:firstLine="708"/>
        <w:jc w:val="both"/>
        <w:rPr>
          <w:sz w:val="24"/>
          <w:szCs w:val="24"/>
          <w:lang w:val="hy-AM"/>
        </w:rPr>
      </w:pPr>
      <w:r w:rsidRPr="00597A05">
        <w:rPr>
          <w:rFonts w:cs="Sylfaen"/>
          <w:bCs/>
          <w:sz w:val="24"/>
          <w:szCs w:val="24"/>
          <w:lang w:val="hy-AM"/>
        </w:rPr>
        <w:t>«</w:t>
      </w:r>
      <w:r>
        <w:rPr>
          <w:rFonts w:cs="Sylfaen"/>
          <w:sz w:val="24"/>
          <w:szCs w:val="24"/>
          <w:lang w:val="hy-AM"/>
        </w:rPr>
        <w:t>Պայմանագրային ներդրումային ֆոնդերի պետական հաշվառման կարգը հաստատելու մասին</w:t>
      </w:r>
      <w:r w:rsidRPr="00597A05">
        <w:rPr>
          <w:rFonts w:cs="Sylfaen"/>
          <w:bCs/>
          <w:sz w:val="24"/>
          <w:szCs w:val="24"/>
          <w:lang w:val="hy-AM"/>
        </w:rPr>
        <w:t>»</w:t>
      </w:r>
      <w:r w:rsidRPr="00606568">
        <w:rPr>
          <w:rFonts w:cs="Sylfaen"/>
          <w:sz w:val="24"/>
          <w:szCs w:val="24"/>
          <w:lang w:val="hy-AM"/>
        </w:rPr>
        <w:t xml:space="preserve"> ՀՀ կառավարության</w:t>
      </w:r>
      <w:r w:rsidRPr="00DA73CE">
        <w:rPr>
          <w:rFonts w:cs="Sylfaen"/>
          <w:sz w:val="24"/>
          <w:szCs w:val="24"/>
          <w:lang w:val="hy-AM"/>
        </w:rPr>
        <w:t xml:space="preserve"> որոշման ընդունման </w:t>
      </w:r>
      <w:r w:rsidRPr="00DB172A">
        <w:rPr>
          <w:sz w:val="24"/>
          <w:szCs w:val="24"/>
          <w:lang w:val="hy-AM"/>
        </w:rPr>
        <w:t xml:space="preserve">կապակցությամբ </w:t>
      </w:r>
      <w:r w:rsidRPr="00FE7AEE">
        <w:rPr>
          <w:sz w:val="24"/>
          <w:szCs w:val="24"/>
          <w:lang w:val="hy-AM"/>
        </w:rPr>
        <w:t>այլ իրավական ակտերի ընդունման անհրաժեշտությունը բացակայում է:</w:t>
      </w:r>
    </w:p>
    <w:p w:rsidR="003F5A25" w:rsidRPr="00FE7AEE" w:rsidRDefault="003F5A25" w:rsidP="003F5A25">
      <w:pPr>
        <w:spacing w:after="0" w:line="360" w:lineRule="auto"/>
        <w:ind w:firstLine="709"/>
        <w:jc w:val="both"/>
        <w:rPr>
          <w:sz w:val="24"/>
          <w:szCs w:val="24"/>
          <w:lang w:val="hy-AM"/>
        </w:rPr>
      </w:pPr>
    </w:p>
    <w:p w:rsidR="003F5A25" w:rsidRPr="00A819B5" w:rsidRDefault="003F5A25" w:rsidP="003F5A25">
      <w:pPr>
        <w:jc w:val="center"/>
        <w:rPr>
          <w:b/>
          <w:sz w:val="24"/>
          <w:szCs w:val="24"/>
          <w:lang w:val="hy-AM"/>
        </w:rPr>
      </w:pPr>
      <w:r w:rsidRPr="00A819B5">
        <w:rPr>
          <w:b/>
          <w:sz w:val="24"/>
          <w:szCs w:val="24"/>
          <w:lang w:val="hy-AM"/>
        </w:rPr>
        <w:t>ՏԵՂԵԿԱՆՔ N 2</w:t>
      </w:r>
    </w:p>
    <w:p w:rsidR="003F5A25" w:rsidRPr="00DB172A" w:rsidRDefault="003F5A25" w:rsidP="003F5A25">
      <w:pPr>
        <w:autoSpaceDE w:val="0"/>
        <w:autoSpaceDN w:val="0"/>
        <w:adjustRightInd w:val="0"/>
        <w:spacing w:after="0"/>
        <w:jc w:val="center"/>
        <w:rPr>
          <w:sz w:val="24"/>
          <w:szCs w:val="24"/>
          <w:lang w:val="hy-AM"/>
        </w:rPr>
      </w:pPr>
      <w:r w:rsidRPr="003F5A25">
        <w:rPr>
          <w:sz w:val="24"/>
          <w:szCs w:val="24"/>
          <w:lang w:val="hy-AM"/>
        </w:rPr>
        <w:t>«ՊԱՅՄԱՆԱԳՐԱՅԻՆ ՆԵՐԴՐՈՒՄԱՅԻՆ ՖՈՆԴԵՐԻ ՊԵՏԱԿԱՆ ՀԱՇՎԱՌՄԱՆ ԿԱՐԳԸ ՀԱՍՏԱՏԵԼՈՒ ՄԱՍԻՆ</w:t>
      </w:r>
      <w:r w:rsidRPr="005165F4">
        <w:rPr>
          <w:sz w:val="24"/>
          <w:szCs w:val="24"/>
          <w:lang w:val="hy-AM"/>
        </w:rPr>
        <w:t>»</w:t>
      </w:r>
      <w:r>
        <w:rPr>
          <w:sz w:val="24"/>
          <w:szCs w:val="24"/>
          <w:lang w:val="hy-AM"/>
        </w:rPr>
        <w:t xml:space="preserve"> </w:t>
      </w:r>
      <w:r w:rsidRPr="00DB172A">
        <w:rPr>
          <w:sz w:val="24"/>
          <w:szCs w:val="24"/>
          <w:lang w:val="hy-AM"/>
        </w:rPr>
        <w:t>ՀԱՅԱUՏԱՆԻ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w:t>
      </w:r>
    </w:p>
    <w:p w:rsidR="003F5A25" w:rsidRDefault="003F5A25" w:rsidP="003F5A25">
      <w:pPr>
        <w:spacing w:line="360" w:lineRule="auto"/>
        <w:ind w:firstLine="708"/>
        <w:jc w:val="both"/>
        <w:rPr>
          <w:rStyle w:val="Strong"/>
          <w:b w:val="0"/>
          <w:color w:val="000000"/>
          <w:sz w:val="24"/>
          <w:szCs w:val="24"/>
        </w:rPr>
      </w:pPr>
    </w:p>
    <w:p w:rsidR="00A819B5" w:rsidRPr="00A819B5" w:rsidRDefault="003F5A25" w:rsidP="003F5A25">
      <w:pPr>
        <w:tabs>
          <w:tab w:val="left" w:pos="0"/>
        </w:tabs>
        <w:spacing w:line="360" w:lineRule="auto"/>
        <w:jc w:val="both"/>
        <w:rPr>
          <w:sz w:val="24"/>
          <w:szCs w:val="24"/>
        </w:rPr>
        <w:sectPr w:rsidR="00A819B5" w:rsidRPr="00A819B5" w:rsidSect="003859CA">
          <w:pgSz w:w="12240" w:h="15840"/>
          <w:pgMar w:top="993" w:right="1418" w:bottom="993" w:left="1418" w:header="720" w:footer="720" w:gutter="0"/>
          <w:cols w:space="720"/>
          <w:docGrid w:linePitch="360"/>
        </w:sectPr>
      </w:pPr>
      <w:r>
        <w:rPr>
          <w:rStyle w:val="Strong"/>
          <w:b w:val="0"/>
          <w:color w:val="000000"/>
          <w:sz w:val="24"/>
          <w:szCs w:val="24"/>
          <w:lang w:val="hy-AM"/>
        </w:rPr>
        <w:tab/>
      </w:r>
      <w:r w:rsidRPr="00597A05">
        <w:rPr>
          <w:rFonts w:cs="Sylfaen"/>
          <w:bCs/>
          <w:sz w:val="24"/>
          <w:szCs w:val="24"/>
          <w:lang w:val="hy-AM"/>
        </w:rPr>
        <w:t>«</w:t>
      </w:r>
      <w:r>
        <w:rPr>
          <w:rFonts w:cs="Sylfaen"/>
          <w:sz w:val="24"/>
          <w:szCs w:val="24"/>
          <w:lang w:val="hy-AM"/>
        </w:rPr>
        <w:t>Պայմանագրային ներդրումային ֆոնդերի պետական հաշվառման կարգը հաստատելու մասին</w:t>
      </w:r>
      <w:r w:rsidRPr="00597A05">
        <w:rPr>
          <w:rFonts w:cs="Sylfaen"/>
          <w:bCs/>
          <w:sz w:val="24"/>
          <w:szCs w:val="24"/>
          <w:lang w:val="hy-AM"/>
        </w:rPr>
        <w:t>»</w:t>
      </w:r>
      <w:r w:rsidRPr="003F5A25">
        <w:rPr>
          <w:rStyle w:val="Strong"/>
          <w:color w:val="000000"/>
        </w:rPr>
        <w:t xml:space="preserve"> </w:t>
      </w:r>
      <w:r w:rsidRPr="003F5A25">
        <w:rPr>
          <w:rStyle w:val="Strong"/>
          <w:b w:val="0"/>
          <w:color w:val="000000"/>
          <w:sz w:val="24"/>
          <w:szCs w:val="24"/>
          <w:lang w:val="hy-AM"/>
        </w:rPr>
        <w:t xml:space="preserve"> ՀՀ կառավարության որոշման կապակցությամբ </w:t>
      </w:r>
      <w:r w:rsidRPr="003F5A25">
        <w:rPr>
          <w:sz w:val="24"/>
          <w:szCs w:val="24"/>
          <w:lang w:val="hy-AM"/>
        </w:rPr>
        <w:t>պետական կամ տեղական ինքնակառավարման մարմնի բյուջեում ծախսերի և եկամուտների էական ավելացում կամ նվազեցում չի նախատեսվում։</w:t>
      </w:r>
    </w:p>
    <w:p w:rsidR="00A819B5" w:rsidRPr="003B5200" w:rsidRDefault="00A819B5" w:rsidP="00A819B5">
      <w:pPr>
        <w:rPr>
          <w:b/>
        </w:rPr>
      </w:pPr>
    </w:p>
    <w:p w:rsidR="00A819B5" w:rsidRPr="00A819B5" w:rsidRDefault="00A819B5" w:rsidP="00A819B5">
      <w:pPr>
        <w:jc w:val="center"/>
        <w:rPr>
          <w:b/>
        </w:rPr>
      </w:pPr>
      <w:r w:rsidRPr="003B5200">
        <w:rPr>
          <w:b/>
        </w:rPr>
        <w:t>ԱՄՓՈՓԱԹԵՐԹ</w:t>
      </w:r>
    </w:p>
    <w:p w:rsidR="00A819B5" w:rsidRPr="00A819B5" w:rsidRDefault="00A819B5" w:rsidP="00A819B5">
      <w:pPr>
        <w:jc w:val="center"/>
        <w:rPr>
          <w:b/>
          <w:bCs/>
        </w:rPr>
      </w:pPr>
      <w:r w:rsidRPr="00BC68E0">
        <w:rPr>
          <w:b/>
          <w:bCs/>
          <w:lang w:val="hy-AM"/>
        </w:rPr>
        <w:t>«Պայմանագրային ներդրումային ֆոնդերի պետական հաշվառման կարգը հաստատելու մասին» ՀՀ կառավարության որոշման նախագծի վերաբերյալ</w:t>
      </w:r>
    </w:p>
    <w:p w:rsidR="00A819B5" w:rsidRPr="00BC68E0" w:rsidRDefault="00A819B5" w:rsidP="00A819B5">
      <w:pPr>
        <w:rPr>
          <w:lang w:val="hy-AM"/>
        </w:rPr>
      </w:pPr>
    </w:p>
    <w:tbl>
      <w:tblPr>
        <w:tblW w:w="14978"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1"/>
        <w:gridCol w:w="2314"/>
        <w:gridCol w:w="5413"/>
        <w:gridCol w:w="2815"/>
        <w:gridCol w:w="3775"/>
      </w:tblGrid>
      <w:tr w:rsidR="00A819B5" w:rsidRPr="00BC68E0" w:rsidTr="00A819B5">
        <w:trPr>
          <w:trHeight w:val="57"/>
        </w:trPr>
        <w:tc>
          <w:tcPr>
            <w:tcW w:w="661" w:type="dxa"/>
          </w:tcPr>
          <w:p w:rsidR="00A819B5" w:rsidRPr="00BC68E0" w:rsidRDefault="00A819B5" w:rsidP="005B0046">
            <w:pPr>
              <w:autoSpaceDE w:val="0"/>
              <w:autoSpaceDN w:val="0"/>
              <w:adjustRightInd w:val="0"/>
              <w:jc w:val="both"/>
              <w:rPr>
                <w:lang w:val="hy-AM"/>
              </w:rPr>
            </w:pPr>
            <w:r w:rsidRPr="00BC68E0">
              <w:rPr>
                <w:lang w:val="hy-AM"/>
              </w:rPr>
              <w:t>հ/հ</w:t>
            </w:r>
          </w:p>
        </w:tc>
        <w:tc>
          <w:tcPr>
            <w:tcW w:w="2314" w:type="dxa"/>
          </w:tcPr>
          <w:p w:rsidR="00A819B5" w:rsidRPr="00BC68E0" w:rsidRDefault="00A819B5" w:rsidP="005B0046">
            <w:pPr>
              <w:autoSpaceDE w:val="0"/>
              <w:autoSpaceDN w:val="0"/>
              <w:adjustRightInd w:val="0"/>
              <w:jc w:val="center"/>
              <w:rPr>
                <w:lang w:val="hy-AM"/>
              </w:rPr>
            </w:pPr>
            <w:r w:rsidRPr="00BC68E0">
              <w:rPr>
                <w:lang w:val="hy-AM"/>
              </w:rPr>
              <w:t>Առաջարկության հեղինակը, գրության ամսաթիվը, գրության համարը</w:t>
            </w:r>
          </w:p>
        </w:tc>
        <w:tc>
          <w:tcPr>
            <w:tcW w:w="5413" w:type="dxa"/>
          </w:tcPr>
          <w:p w:rsidR="00A819B5" w:rsidRPr="00BC68E0" w:rsidRDefault="00A819B5" w:rsidP="005B0046">
            <w:pPr>
              <w:autoSpaceDE w:val="0"/>
              <w:autoSpaceDN w:val="0"/>
              <w:adjustRightInd w:val="0"/>
              <w:jc w:val="center"/>
              <w:rPr>
                <w:lang w:val="hy-AM"/>
              </w:rPr>
            </w:pPr>
            <w:r w:rsidRPr="00BC68E0">
              <w:rPr>
                <w:lang w:val="hy-AM"/>
              </w:rPr>
              <w:t>Առաջարկության բովանդակությունը</w:t>
            </w:r>
          </w:p>
        </w:tc>
        <w:tc>
          <w:tcPr>
            <w:tcW w:w="2815" w:type="dxa"/>
          </w:tcPr>
          <w:p w:rsidR="00A819B5" w:rsidRPr="00BC68E0" w:rsidRDefault="00A819B5" w:rsidP="005B0046">
            <w:pPr>
              <w:autoSpaceDE w:val="0"/>
              <w:autoSpaceDN w:val="0"/>
              <w:adjustRightInd w:val="0"/>
              <w:jc w:val="center"/>
              <w:rPr>
                <w:lang w:val="hy-AM"/>
              </w:rPr>
            </w:pPr>
            <w:r w:rsidRPr="00BC68E0">
              <w:rPr>
                <w:lang w:val="hy-AM"/>
              </w:rPr>
              <w:t>Եզրակացություն</w:t>
            </w:r>
          </w:p>
        </w:tc>
        <w:tc>
          <w:tcPr>
            <w:tcW w:w="3775" w:type="dxa"/>
          </w:tcPr>
          <w:p w:rsidR="00A819B5" w:rsidRPr="00BC68E0" w:rsidRDefault="00A819B5" w:rsidP="005B0046">
            <w:pPr>
              <w:autoSpaceDE w:val="0"/>
              <w:autoSpaceDN w:val="0"/>
              <w:adjustRightInd w:val="0"/>
              <w:jc w:val="center"/>
              <w:rPr>
                <w:lang w:val="hy-AM"/>
              </w:rPr>
            </w:pPr>
            <w:r w:rsidRPr="00BC68E0">
              <w:rPr>
                <w:lang w:val="hy-AM"/>
              </w:rPr>
              <w:t>Կատարված փոփոխությունը</w:t>
            </w:r>
          </w:p>
        </w:tc>
      </w:tr>
      <w:tr w:rsidR="00A819B5" w:rsidRPr="00BC68E0" w:rsidTr="00A819B5">
        <w:trPr>
          <w:trHeight w:val="57"/>
        </w:trPr>
        <w:tc>
          <w:tcPr>
            <w:tcW w:w="661" w:type="dxa"/>
          </w:tcPr>
          <w:p w:rsidR="00A819B5" w:rsidRPr="00BC68E0" w:rsidRDefault="00A819B5" w:rsidP="005B0046">
            <w:pPr>
              <w:autoSpaceDE w:val="0"/>
              <w:autoSpaceDN w:val="0"/>
              <w:adjustRightInd w:val="0"/>
              <w:jc w:val="both"/>
              <w:rPr>
                <w:lang w:val="hy-AM"/>
              </w:rPr>
            </w:pPr>
          </w:p>
        </w:tc>
        <w:tc>
          <w:tcPr>
            <w:tcW w:w="2314" w:type="dxa"/>
          </w:tcPr>
          <w:p w:rsidR="00A819B5" w:rsidRPr="00BC68E0" w:rsidRDefault="00A819B5" w:rsidP="005B0046">
            <w:pPr>
              <w:autoSpaceDE w:val="0"/>
              <w:autoSpaceDN w:val="0"/>
              <w:adjustRightInd w:val="0"/>
              <w:jc w:val="center"/>
              <w:rPr>
                <w:lang w:val="hy-AM"/>
              </w:rPr>
            </w:pPr>
            <w:r w:rsidRPr="00BC68E0">
              <w:rPr>
                <w:lang w:val="hy-AM"/>
              </w:rPr>
              <w:t>1</w:t>
            </w:r>
          </w:p>
        </w:tc>
        <w:tc>
          <w:tcPr>
            <w:tcW w:w="5413" w:type="dxa"/>
          </w:tcPr>
          <w:p w:rsidR="00A819B5" w:rsidRPr="00BC68E0" w:rsidRDefault="00A819B5" w:rsidP="005B0046">
            <w:pPr>
              <w:autoSpaceDE w:val="0"/>
              <w:autoSpaceDN w:val="0"/>
              <w:adjustRightInd w:val="0"/>
              <w:jc w:val="center"/>
              <w:rPr>
                <w:lang w:val="hy-AM"/>
              </w:rPr>
            </w:pPr>
            <w:r w:rsidRPr="00BC68E0">
              <w:rPr>
                <w:lang w:val="hy-AM"/>
              </w:rPr>
              <w:t>2</w:t>
            </w:r>
          </w:p>
        </w:tc>
        <w:tc>
          <w:tcPr>
            <w:tcW w:w="2815" w:type="dxa"/>
          </w:tcPr>
          <w:p w:rsidR="00A819B5" w:rsidRPr="00BC68E0" w:rsidRDefault="00A819B5" w:rsidP="005B0046">
            <w:pPr>
              <w:autoSpaceDE w:val="0"/>
              <w:autoSpaceDN w:val="0"/>
              <w:adjustRightInd w:val="0"/>
              <w:jc w:val="center"/>
              <w:rPr>
                <w:lang w:val="hy-AM"/>
              </w:rPr>
            </w:pPr>
            <w:r w:rsidRPr="00BC68E0">
              <w:rPr>
                <w:lang w:val="hy-AM"/>
              </w:rPr>
              <w:t>3</w:t>
            </w:r>
          </w:p>
        </w:tc>
        <w:tc>
          <w:tcPr>
            <w:tcW w:w="3775" w:type="dxa"/>
          </w:tcPr>
          <w:p w:rsidR="00A819B5" w:rsidRPr="00BC68E0" w:rsidRDefault="00A819B5" w:rsidP="005B0046">
            <w:pPr>
              <w:autoSpaceDE w:val="0"/>
              <w:autoSpaceDN w:val="0"/>
              <w:adjustRightInd w:val="0"/>
              <w:jc w:val="center"/>
              <w:rPr>
                <w:lang w:val="hy-AM"/>
              </w:rPr>
            </w:pPr>
            <w:r w:rsidRPr="00BC68E0">
              <w:rPr>
                <w:lang w:val="hy-AM"/>
              </w:rPr>
              <w:t>4</w:t>
            </w:r>
          </w:p>
        </w:tc>
      </w:tr>
      <w:tr w:rsidR="00A819B5" w:rsidRPr="00BC68E0" w:rsidTr="00A819B5">
        <w:trPr>
          <w:trHeight w:val="1900"/>
        </w:trPr>
        <w:tc>
          <w:tcPr>
            <w:tcW w:w="661" w:type="dxa"/>
          </w:tcPr>
          <w:p w:rsidR="00A819B5" w:rsidRPr="00BC68E0" w:rsidRDefault="00A819B5" w:rsidP="005B0046">
            <w:pPr>
              <w:autoSpaceDE w:val="0"/>
              <w:autoSpaceDN w:val="0"/>
              <w:adjustRightInd w:val="0"/>
              <w:jc w:val="both"/>
            </w:pPr>
            <w:r>
              <w:t>1.</w:t>
            </w:r>
          </w:p>
        </w:tc>
        <w:tc>
          <w:tcPr>
            <w:tcW w:w="2314" w:type="dxa"/>
          </w:tcPr>
          <w:p w:rsidR="00A819B5" w:rsidRPr="00BC68E0" w:rsidRDefault="00A819B5" w:rsidP="005B0046">
            <w:pPr>
              <w:autoSpaceDE w:val="0"/>
              <w:autoSpaceDN w:val="0"/>
              <w:adjustRightInd w:val="0"/>
              <w:jc w:val="center"/>
              <w:rPr>
                <w:lang w:val="hy-AM"/>
              </w:rPr>
            </w:pPr>
            <w:r w:rsidRPr="00BC68E0">
              <w:rPr>
                <w:lang w:val="hy-AM"/>
              </w:rPr>
              <w:t>ՀՀ ֆինանսների նախարարություն</w:t>
            </w:r>
          </w:p>
          <w:p w:rsidR="00A819B5" w:rsidRPr="00CB2048" w:rsidRDefault="00A819B5" w:rsidP="005B0046">
            <w:pPr>
              <w:autoSpaceDE w:val="0"/>
              <w:autoSpaceDN w:val="0"/>
              <w:adjustRightInd w:val="0"/>
              <w:jc w:val="center"/>
              <w:rPr>
                <w:lang w:val="hy-AM"/>
              </w:rPr>
            </w:pPr>
            <w:r w:rsidRPr="00CB2048">
              <w:rPr>
                <w:lang w:val="hy-AM"/>
              </w:rPr>
              <w:t>2012-11-19</w:t>
            </w:r>
          </w:p>
          <w:p w:rsidR="00A819B5" w:rsidRPr="00BC68E0" w:rsidRDefault="00A819B5" w:rsidP="00A819B5">
            <w:pPr>
              <w:autoSpaceDE w:val="0"/>
              <w:autoSpaceDN w:val="0"/>
              <w:adjustRightInd w:val="0"/>
              <w:jc w:val="center"/>
              <w:rPr>
                <w:lang w:val="hy-AM"/>
              </w:rPr>
            </w:pPr>
            <w:r w:rsidRPr="00CB2048">
              <w:rPr>
                <w:lang w:val="hy-AM"/>
              </w:rPr>
              <w:t>6.ՍԿ/9.4/14967-12</w:t>
            </w:r>
            <w:r w:rsidRPr="00BC68E0">
              <w:rPr>
                <w:lang w:val="hy-AM"/>
              </w:rPr>
              <w:t xml:space="preserve"> </w:t>
            </w:r>
          </w:p>
        </w:tc>
        <w:tc>
          <w:tcPr>
            <w:tcW w:w="5413" w:type="dxa"/>
          </w:tcPr>
          <w:p w:rsidR="00A819B5" w:rsidRPr="00BC68E0" w:rsidRDefault="00A819B5" w:rsidP="005B0046">
            <w:pPr>
              <w:autoSpaceDE w:val="0"/>
              <w:autoSpaceDN w:val="0"/>
              <w:adjustRightInd w:val="0"/>
              <w:rPr>
                <w:lang w:val="hy-AM"/>
              </w:rPr>
            </w:pPr>
          </w:p>
          <w:p w:rsidR="00A819B5" w:rsidRPr="00BC68E0" w:rsidRDefault="00A819B5" w:rsidP="005B0046">
            <w:pPr>
              <w:autoSpaceDE w:val="0"/>
              <w:autoSpaceDN w:val="0"/>
              <w:adjustRightInd w:val="0"/>
              <w:rPr>
                <w:lang w:val="hy-AM"/>
              </w:rPr>
            </w:pPr>
            <w:r w:rsidRPr="00BC68E0">
              <w:rPr>
                <w:lang w:val="hy-AM"/>
              </w:rPr>
              <w:t>Առաջարկություններ և դիտողություններ չկան:</w:t>
            </w:r>
          </w:p>
        </w:tc>
        <w:tc>
          <w:tcPr>
            <w:tcW w:w="2815" w:type="dxa"/>
          </w:tcPr>
          <w:p w:rsidR="00A819B5" w:rsidRPr="00BC68E0" w:rsidRDefault="00A819B5" w:rsidP="005B0046">
            <w:pPr>
              <w:autoSpaceDE w:val="0"/>
              <w:autoSpaceDN w:val="0"/>
              <w:adjustRightInd w:val="0"/>
              <w:jc w:val="center"/>
              <w:rPr>
                <w:lang w:val="hy-AM"/>
              </w:rPr>
            </w:pPr>
          </w:p>
        </w:tc>
        <w:tc>
          <w:tcPr>
            <w:tcW w:w="3775" w:type="dxa"/>
          </w:tcPr>
          <w:p w:rsidR="00A819B5" w:rsidRPr="00BC68E0" w:rsidRDefault="00A819B5" w:rsidP="005B0046">
            <w:pPr>
              <w:autoSpaceDE w:val="0"/>
              <w:autoSpaceDN w:val="0"/>
              <w:adjustRightInd w:val="0"/>
              <w:rPr>
                <w:lang w:val="hy-AM"/>
              </w:rPr>
            </w:pPr>
            <w:r>
              <w:rPr>
                <w:lang w:val="hy-AM"/>
              </w:rPr>
              <w:t>Փոփոխություններ կամ լրացումներ չեն կատարվել;</w:t>
            </w:r>
          </w:p>
        </w:tc>
      </w:tr>
      <w:tr w:rsidR="00A819B5" w:rsidRPr="00BC68E0" w:rsidTr="00A819B5">
        <w:trPr>
          <w:trHeight w:val="57"/>
        </w:trPr>
        <w:tc>
          <w:tcPr>
            <w:tcW w:w="661" w:type="dxa"/>
          </w:tcPr>
          <w:p w:rsidR="00A819B5" w:rsidRPr="00BC68E0" w:rsidRDefault="00A819B5" w:rsidP="005B0046">
            <w:pPr>
              <w:autoSpaceDE w:val="0"/>
              <w:autoSpaceDN w:val="0"/>
              <w:adjustRightInd w:val="0"/>
              <w:jc w:val="both"/>
            </w:pPr>
            <w:r>
              <w:t>2.</w:t>
            </w:r>
          </w:p>
        </w:tc>
        <w:tc>
          <w:tcPr>
            <w:tcW w:w="2314" w:type="dxa"/>
          </w:tcPr>
          <w:p w:rsidR="00A819B5" w:rsidRDefault="00A819B5" w:rsidP="005B0046">
            <w:pPr>
              <w:autoSpaceDE w:val="0"/>
              <w:autoSpaceDN w:val="0"/>
              <w:adjustRightInd w:val="0"/>
              <w:jc w:val="center"/>
              <w:rPr>
                <w:lang w:val="hy-AM"/>
              </w:rPr>
            </w:pPr>
            <w:r>
              <w:rPr>
                <w:lang w:val="hy-AM"/>
              </w:rPr>
              <w:t>ՀՀ կենտրոնական բանկ</w:t>
            </w:r>
          </w:p>
          <w:p w:rsidR="00A819B5" w:rsidRPr="00CB2048" w:rsidRDefault="00A819B5" w:rsidP="005B0046">
            <w:pPr>
              <w:autoSpaceDE w:val="0"/>
              <w:autoSpaceDN w:val="0"/>
              <w:adjustRightInd w:val="0"/>
              <w:jc w:val="center"/>
              <w:rPr>
                <w:lang w:val="hy-AM"/>
              </w:rPr>
            </w:pPr>
            <w:r>
              <w:rPr>
                <w:lang w:val="hy-AM"/>
              </w:rPr>
              <w:t>2012-11-21</w:t>
            </w:r>
          </w:p>
          <w:p w:rsidR="00A819B5" w:rsidRPr="00A819B5" w:rsidRDefault="00A819B5" w:rsidP="00A819B5">
            <w:pPr>
              <w:autoSpaceDE w:val="0"/>
              <w:autoSpaceDN w:val="0"/>
              <w:adjustRightInd w:val="0"/>
              <w:jc w:val="center"/>
            </w:pPr>
            <w:r>
              <w:rPr>
                <w:lang w:val="hy-AM"/>
              </w:rPr>
              <w:t>15.1-06/001099-12</w:t>
            </w:r>
          </w:p>
        </w:tc>
        <w:tc>
          <w:tcPr>
            <w:tcW w:w="5413" w:type="dxa"/>
          </w:tcPr>
          <w:p w:rsidR="00A819B5" w:rsidRPr="00BC68E0" w:rsidRDefault="00A819B5" w:rsidP="005B0046">
            <w:pPr>
              <w:autoSpaceDE w:val="0"/>
              <w:autoSpaceDN w:val="0"/>
              <w:adjustRightInd w:val="0"/>
              <w:rPr>
                <w:lang w:val="hy-AM"/>
              </w:rPr>
            </w:pPr>
            <w:r w:rsidRPr="00BC68E0">
              <w:rPr>
                <w:lang w:val="hy-AM"/>
              </w:rPr>
              <w:t>Առաջարկություններ և դիտողություններ չկան:</w:t>
            </w:r>
          </w:p>
        </w:tc>
        <w:tc>
          <w:tcPr>
            <w:tcW w:w="2815" w:type="dxa"/>
          </w:tcPr>
          <w:p w:rsidR="00A819B5" w:rsidRPr="00BC68E0" w:rsidRDefault="00A819B5" w:rsidP="005B0046">
            <w:pPr>
              <w:autoSpaceDE w:val="0"/>
              <w:autoSpaceDN w:val="0"/>
              <w:adjustRightInd w:val="0"/>
              <w:jc w:val="center"/>
              <w:rPr>
                <w:lang w:val="hy-AM"/>
              </w:rPr>
            </w:pPr>
          </w:p>
        </w:tc>
        <w:tc>
          <w:tcPr>
            <w:tcW w:w="3775" w:type="dxa"/>
          </w:tcPr>
          <w:p w:rsidR="00A819B5" w:rsidRPr="00BC68E0" w:rsidRDefault="00A819B5" w:rsidP="005B0046">
            <w:pPr>
              <w:autoSpaceDE w:val="0"/>
              <w:autoSpaceDN w:val="0"/>
              <w:adjustRightInd w:val="0"/>
              <w:rPr>
                <w:lang w:val="hy-AM"/>
              </w:rPr>
            </w:pPr>
            <w:r>
              <w:rPr>
                <w:lang w:val="hy-AM"/>
              </w:rPr>
              <w:t>Փոփոխություններ կամ լրացումներ չեն կատարվել;</w:t>
            </w:r>
          </w:p>
        </w:tc>
      </w:tr>
    </w:tbl>
    <w:p w:rsidR="00A819B5" w:rsidRPr="00A819B5" w:rsidRDefault="00A819B5" w:rsidP="003F5A25">
      <w:pPr>
        <w:tabs>
          <w:tab w:val="left" w:pos="0"/>
        </w:tabs>
        <w:spacing w:line="360" w:lineRule="auto"/>
        <w:jc w:val="both"/>
        <w:rPr>
          <w:b/>
          <w:sz w:val="24"/>
          <w:szCs w:val="24"/>
        </w:rPr>
      </w:pPr>
    </w:p>
    <w:sectPr w:rsidR="00A819B5" w:rsidRPr="00A819B5" w:rsidSect="00A819B5">
      <w:pgSz w:w="15840" w:h="12240" w:orient="landscape"/>
      <w:pgMar w:top="1411" w:right="994" w:bottom="1411" w:left="99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A2C9E"/>
    <w:multiLevelType w:val="hybridMultilevel"/>
    <w:tmpl w:val="D8B2E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A833DA"/>
    <w:multiLevelType w:val="hybridMultilevel"/>
    <w:tmpl w:val="4F724486"/>
    <w:lvl w:ilvl="0" w:tplc="4AA87F96">
      <w:start w:val="1"/>
      <w:numFmt w:val="decimal"/>
      <w:lvlText w:val="%1)"/>
      <w:lvlJc w:val="left"/>
      <w:pPr>
        <w:ind w:left="1590" w:hanging="360"/>
      </w:pPr>
      <w:rPr>
        <w:b w:val="0"/>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
    <w:nsid w:val="411159B4"/>
    <w:multiLevelType w:val="hybridMultilevel"/>
    <w:tmpl w:val="5A5AA644"/>
    <w:lvl w:ilvl="0" w:tplc="4BA2F5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366616"/>
    <w:multiLevelType w:val="hybridMultilevel"/>
    <w:tmpl w:val="52644BA6"/>
    <w:lvl w:ilvl="0" w:tplc="AF0622B0">
      <w:start w:val="1"/>
      <w:numFmt w:val="decimal"/>
      <w:lvlText w:val="%1."/>
      <w:lvlJc w:val="left"/>
      <w:pPr>
        <w:ind w:left="720" w:hanging="360"/>
      </w:pPr>
      <w:rPr>
        <w:rFonts w:ascii="GHEA Grapalat" w:eastAsiaTheme="minorHAnsi" w:hAnsi="GHEA Grapalat"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B1072A"/>
    <w:multiLevelType w:val="hybridMultilevel"/>
    <w:tmpl w:val="825C83E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6A76A2F"/>
    <w:multiLevelType w:val="hybridMultilevel"/>
    <w:tmpl w:val="3F7C0C2C"/>
    <w:lvl w:ilvl="0" w:tplc="F57EA44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characterSpacingControl w:val="doNotCompress"/>
  <w:compat/>
  <w:rsids>
    <w:rsidRoot w:val="00240EAF"/>
    <w:rsid w:val="000A511F"/>
    <w:rsid w:val="000E619A"/>
    <w:rsid w:val="00141A1A"/>
    <w:rsid w:val="00165591"/>
    <w:rsid w:val="001E11ED"/>
    <w:rsid w:val="001F64BC"/>
    <w:rsid w:val="002257C8"/>
    <w:rsid w:val="00240EAF"/>
    <w:rsid w:val="0024746C"/>
    <w:rsid w:val="002A43C1"/>
    <w:rsid w:val="002D0690"/>
    <w:rsid w:val="003859CA"/>
    <w:rsid w:val="003C5620"/>
    <w:rsid w:val="003C7593"/>
    <w:rsid w:val="003F5A25"/>
    <w:rsid w:val="00480F29"/>
    <w:rsid w:val="004B653E"/>
    <w:rsid w:val="004D42BE"/>
    <w:rsid w:val="004E4170"/>
    <w:rsid w:val="004E66AD"/>
    <w:rsid w:val="0050775B"/>
    <w:rsid w:val="00540A3A"/>
    <w:rsid w:val="005E6170"/>
    <w:rsid w:val="006132E6"/>
    <w:rsid w:val="00630B9A"/>
    <w:rsid w:val="00641655"/>
    <w:rsid w:val="006417DB"/>
    <w:rsid w:val="0064316A"/>
    <w:rsid w:val="00646809"/>
    <w:rsid w:val="00672764"/>
    <w:rsid w:val="006F5EEC"/>
    <w:rsid w:val="007226CF"/>
    <w:rsid w:val="007A4DDC"/>
    <w:rsid w:val="00820EB2"/>
    <w:rsid w:val="00865CD1"/>
    <w:rsid w:val="008C7EFA"/>
    <w:rsid w:val="008D2E2F"/>
    <w:rsid w:val="00953EE1"/>
    <w:rsid w:val="00954EF5"/>
    <w:rsid w:val="00985B07"/>
    <w:rsid w:val="009C5DAD"/>
    <w:rsid w:val="00A43B1D"/>
    <w:rsid w:val="00A57761"/>
    <w:rsid w:val="00A819B5"/>
    <w:rsid w:val="00A93424"/>
    <w:rsid w:val="00B618B8"/>
    <w:rsid w:val="00B96922"/>
    <w:rsid w:val="00BB6CD8"/>
    <w:rsid w:val="00BE0FCD"/>
    <w:rsid w:val="00BF1E64"/>
    <w:rsid w:val="00BF6CFE"/>
    <w:rsid w:val="00C45F0D"/>
    <w:rsid w:val="00C55074"/>
    <w:rsid w:val="00C64089"/>
    <w:rsid w:val="00CA3052"/>
    <w:rsid w:val="00D73317"/>
    <w:rsid w:val="00DF552B"/>
    <w:rsid w:val="00E665C6"/>
    <w:rsid w:val="00E71E19"/>
    <w:rsid w:val="00EC6FE0"/>
    <w:rsid w:val="00F429BC"/>
    <w:rsid w:val="00FA3520"/>
    <w:rsid w:val="00FC0C6F"/>
    <w:rsid w:val="00FD7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EAF"/>
    <w:pPr>
      <w:ind w:left="720"/>
      <w:contextualSpacing/>
    </w:pPr>
  </w:style>
  <w:style w:type="character" w:styleId="CommentReference">
    <w:name w:val="annotation reference"/>
    <w:basedOn w:val="DefaultParagraphFont"/>
    <w:uiPriority w:val="99"/>
    <w:semiHidden/>
    <w:unhideWhenUsed/>
    <w:rsid w:val="00FA3520"/>
    <w:rPr>
      <w:sz w:val="16"/>
      <w:szCs w:val="16"/>
    </w:rPr>
  </w:style>
  <w:style w:type="paragraph" w:styleId="CommentText">
    <w:name w:val="annotation text"/>
    <w:basedOn w:val="Normal"/>
    <w:link w:val="CommentTextChar"/>
    <w:uiPriority w:val="99"/>
    <w:semiHidden/>
    <w:unhideWhenUsed/>
    <w:rsid w:val="00FA3520"/>
    <w:pPr>
      <w:spacing w:line="240" w:lineRule="auto"/>
    </w:pPr>
    <w:rPr>
      <w:sz w:val="20"/>
      <w:szCs w:val="20"/>
    </w:rPr>
  </w:style>
  <w:style w:type="character" w:customStyle="1" w:styleId="CommentTextChar">
    <w:name w:val="Comment Text Char"/>
    <w:basedOn w:val="DefaultParagraphFont"/>
    <w:link w:val="CommentText"/>
    <w:uiPriority w:val="99"/>
    <w:semiHidden/>
    <w:rsid w:val="00FA3520"/>
    <w:rPr>
      <w:sz w:val="20"/>
      <w:szCs w:val="20"/>
    </w:rPr>
  </w:style>
  <w:style w:type="paragraph" w:styleId="CommentSubject">
    <w:name w:val="annotation subject"/>
    <w:basedOn w:val="CommentText"/>
    <w:next w:val="CommentText"/>
    <w:link w:val="CommentSubjectChar"/>
    <w:uiPriority w:val="99"/>
    <w:semiHidden/>
    <w:unhideWhenUsed/>
    <w:rsid w:val="00FA3520"/>
    <w:rPr>
      <w:b/>
      <w:bCs/>
    </w:rPr>
  </w:style>
  <w:style w:type="character" w:customStyle="1" w:styleId="CommentSubjectChar">
    <w:name w:val="Comment Subject Char"/>
    <w:basedOn w:val="CommentTextChar"/>
    <w:link w:val="CommentSubject"/>
    <w:uiPriority w:val="99"/>
    <w:semiHidden/>
    <w:rsid w:val="00FA3520"/>
    <w:rPr>
      <w:b/>
      <w:bCs/>
      <w:sz w:val="20"/>
      <w:szCs w:val="20"/>
    </w:rPr>
  </w:style>
  <w:style w:type="paragraph" w:styleId="BalloonText">
    <w:name w:val="Balloon Text"/>
    <w:basedOn w:val="Normal"/>
    <w:link w:val="BalloonTextChar"/>
    <w:uiPriority w:val="99"/>
    <w:semiHidden/>
    <w:unhideWhenUsed/>
    <w:rsid w:val="00FA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520"/>
    <w:rPr>
      <w:rFonts w:ascii="Tahoma" w:hAnsi="Tahoma" w:cs="Tahoma"/>
      <w:sz w:val="16"/>
      <w:szCs w:val="16"/>
    </w:rPr>
  </w:style>
  <w:style w:type="paragraph" w:styleId="NoSpacing">
    <w:name w:val="No Spacing"/>
    <w:qFormat/>
    <w:rsid w:val="00B96922"/>
    <w:pPr>
      <w:spacing w:after="0" w:line="240" w:lineRule="auto"/>
    </w:pPr>
  </w:style>
  <w:style w:type="character" w:styleId="Strong">
    <w:name w:val="Strong"/>
    <w:uiPriority w:val="22"/>
    <w:qFormat/>
    <w:rsid w:val="006417DB"/>
    <w:rPr>
      <w:rFonts w:cs="Times New Roman"/>
      <w:b/>
      <w:bCs/>
    </w:rPr>
  </w:style>
  <w:style w:type="paragraph" w:styleId="BodyText">
    <w:name w:val="Body Text"/>
    <w:basedOn w:val="Normal"/>
    <w:link w:val="BodyTextChar"/>
    <w:rsid w:val="003F5A25"/>
    <w:pPr>
      <w:spacing w:after="0" w:line="36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3F5A25"/>
    <w:rPr>
      <w:rFonts w:ascii="Times Armenian" w:eastAsia="Times New Roman" w:hAnsi="Times Armenian" w:cs="Times New Roman"/>
      <w:sz w:val="24"/>
      <w:szCs w:val="24"/>
    </w:rPr>
  </w:style>
  <w:style w:type="character" w:customStyle="1" w:styleId="apple-converted-space">
    <w:name w:val="apple-converted-space"/>
    <w:basedOn w:val="DefaultParagraphFont"/>
    <w:rsid w:val="00FC0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HEA Grapalat" w:eastAsiaTheme="minorHAnsi" w:hAnsi="GHEA Grapalat"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EAF"/>
    <w:pPr>
      <w:ind w:left="720"/>
      <w:contextualSpacing/>
    </w:pPr>
  </w:style>
  <w:style w:type="character" w:styleId="CommentReference">
    <w:name w:val="annotation reference"/>
    <w:basedOn w:val="DefaultParagraphFont"/>
    <w:uiPriority w:val="99"/>
    <w:semiHidden/>
    <w:unhideWhenUsed/>
    <w:rsid w:val="00FA3520"/>
    <w:rPr>
      <w:sz w:val="16"/>
      <w:szCs w:val="16"/>
    </w:rPr>
  </w:style>
  <w:style w:type="paragraph" w:styleId="CommentText">
    <w:name w:val="annotation text"/>
    <w:basedOn w:val="Normal"/>
    <w:link w:val="CommentTextChar"/>
    <w:uiPriority w:val="99"/>
    <w:semiHidden/>
    <w:unhideWhenUsed/>
    <w:rsid w:val="00FA3520"/>
    <w:pPr>
      <w:spacing w:line="240" w:lineRule="auto"/>
    </w:pPr>
    <w:rPr>
      <w:sz w:val="20"/>
      <w:szCs w:val="20"/>
    </w:rPr>
  </w:style>
  <w:style w:type="character" w:customStyle="1" w:styleId="CommentTextChar">
    <w:name w:val="Comment Text Char"/>
    <w:basedOn w:val="DefaultParagraphFont"/>
    <w:link w:val="CommentText"/>
    <w:uiPriority w:val="99"/>
    <w:semiHidden/>
    <w:rsid w:val="00FA3520"/>
    <w:rPr>
      <w:sz w:val="20"/>
      <w:szCs w:val="20"/>
    </w:rPr>
  </w:style>
  <w:style w:type="paragraph" w:styleId="CommentSubject">
    <w:name w:val="annotation subject"/>
    <w:basedOn w:val="CommentText"/>
    <w:next w:val="CommentText"/>
    <w:link w:val="CommentSubjectChar"/>
    <w:uiPriority w:val="99"/>
    <w:semiHidden/>
    <w:unhideWhenUsed/>
    <w:rsid w:val="00FA3520"/>
    <w:rPr>
      <w:b/>
      <w:bCs/>
    </w:rPr>
  </w:style>
  <w:style w:type="character" w:customStyle="1" w:styleId="CommentSubjectChar">
    <w:name w:val="Comment Subject Char"/>
    <w:basedOn w:val="CommentTextChar"/>
    <w:link w:val="CommentSubject"/>
    <w:uiPriority w:val="99"/>
    <w:semiHidden/>
    <w:rsid w:val="00FA3520"/>
    <w:rPr>
      <w:b/>
      <w:bCs/>
      <w:sz w:val="20"/>
      <w:szCs w:val="20"/>
    </w:rPr>
  </w:style>
  <w:style w:type="paragraph" w:styleId="BalloonText">
    <w:name w:val="Balloon Text"/>
    <w:basedOn w:val="Normal"/>
    <w:link w:val="BalloonTextChar"/>
    <w:uiPriority w:val="99"/>
    <w:semiHidden/>
    <w:unhideWhenUsed/>
    <w:rsid w:val="00FA3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520"/>
    <w:rPr>
      <w:rFonts w:ascii="Tahoma" w:hAnsi="Tahoma" w:cs="Tahoma"/>
      <w:sz w:val="16"/>
      <w:szCs w:val="16"/>
    </w:rPr>
  </w:style>
  <w:style w:type="paragraph" w:styleId="NoSpacing">
    <w:name w:val="No Spacing"/>
    <w:qFormat/>
    <w:rsid w:val="00B96922"/>
    <w:pPr>
      <w:spacing w:after="0" w:line="240" w:lineRule="auto"/>
    </w:pPr>
  </w:style>
  <w:style w:type="character" w:styleId="Strong">
    <w:name w:val="Strong"/>
    <w:uiPriority w:val="22"/>
    <w:qFormat/>
    <w:rsid w:val="006417DB"/>
    <w:rPr>
      <w:rFonts w:cs="Times New Roman"/>
      <w:b/>
      <w:bCs/>
    </w:rPr>
  </w:style>
  <w:style w:type="paragraph" w:styleId="BodyText">
    <w:name w:val="Body Text"/>
    <w:basedOn w:val="Normal"/>
    <w:link w:val="BodyTextChar"/>
    <w:rsid w:val="003F5A25"/>
    <w:pPr>
      <w:spacing w:after="0" w:line="360" w:lineRule="auto"/>
      <w:jc w:val="center"/>
    </w:pPr>
    <w:rPr>
      <w:rFonts w:ascii="Times Armenian" w:eastAsia="Times New Roman" w:hAnsi="Times Armenian" w:cs="Times New Roman"/>
      <w:sz w:val="24"/>
      <w:szCs w:val="24"/>
    </w:rPr>
  </w:style>
  <w:style w:type="character" w:customStyle="1" w:styleId="BodyTextChar">
    <w:name w:val="Body Text Char"/>
    <w:basedOn w:val="DefaultParagraphFont"/>
    <w:link w:val="BodyText"/>
    <w:rsid w:val="003F5A25"/>
    <w:rPr>
      <w:rFonts w:ascii="Times Armenian" w:eastAsia="Times New Roman" w:hAnsi="Times Armenian" w:cs="Times New Roman"/>
      <w:sz w:val="24"/>
      <w:szCs w:val="24"/>
    </w:rPr>
  </w:style>
  <w:style w:type="character" w:customStyle="1" w:styleId="apple-converted-space">
    <w:name w:val="apple-converted-space"/>
    <w:basedOn w:val="DefaultParagraphFont"/>
    <w:rsid w:val="00FC0C6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Manukyan</dc:creator>
  <cp:lastModifiedBy>tateviks</cp:lastModifiedBy>
  <cp:revision>48</cp:revision>
  <dcterms:created xsi:type="dcterms:W3CDTF">2012-10-31T11:35:00Z</dcterms:created>
  <dcterms:modified xsi:type="dcterms:W3CDTF">2012-12-13T05:36:00Z</dcterms:modified>
</cp:coreProperties>
</file>