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D6" w:rsidRPr="00B93E7B" w:rsidRDefault="00F202D6" w:rsidP="00B93E7B">
      <w:pPr>
        <w:spacing w:line="360" w:lineRule="auto"/>
        <w:jc w:val="right"/>
        <w:rPr>
          <w:rFonts w:cs="Sylfaen"/>
          <w:sz w:val="24"/>
          <w:szCs w:val="24"/>
        </w:rPr>
      </w:pPr>
      <w:r w:rsidRPr="00B93E7B">
        <w:rPr>
          <w:rFonts w:cs="Sylfaen"/>
          <w:sz w:val="24"/>
          <w:szCs w:val="24"/>
        </w:rPr>
        <w:t>ՆԱԽԱԳԻԾ</w:t>
      </w:r>
    </w:p>
    <w:p w:rsidR="00F202D6" w:rsidRPr="00B93E7B" w:rsidRDefault="00F202D6" w:rsidP="00B93E7B">
      <w:pPr>
        <w:spacing w:line="360" w:lineRule="auto"/>
        <w:jc w:val="center"/>
        <w:rPr>
          <w:b/>
          <w:sz w:val="24"/>
          <w:szCs w:val="24"/>
        </w:rPr>
      </w:pPr>
      <w:r w:rsidRPr="00B93E7B">
        <w:rPr>
          <w:rFonts w:cs="Sylfaen"/>
          <w:b/>
          <w:sz w:val="24"/>
          <w:szCs w:val="24"/>
        </w:rPr>
        <w:t>ՀԱՅԱՍՏԱՆԻ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ՀԱՆՐԱՊԵՏՈՒԹՅԱՆ</w:t>
      </w:r>
    </w:p>
    <w:p w:rsidR="00F202D6" w:rsidRPr="00B93E7B" w:rsidRDefault="00F202D6" w:rsidP="00B93E7B">
      <w:pPr>
        <w:spacing w:line="360" w:lineRule="auto"/>
        <w:jc w:val="center"/>
        <w:rPr>
          <w:rFonts w:cs="Sylfaen"/>
          <w:b/>
          <w:sz w:val="24"/>
          <w:szCs w:val="24"/>
        </w:rPr>
      </w:pPr>
      <w:r w:rsidRPr="00B93E7B">
        <w:rPr>
          <w:rFonts w:cs="Sylfaen"/>
          <w:b/>
          <w:sz w:val="24"/>
          <w:szCs w:val="24"/>
        </w:rPr>
        <w:t>Օ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Ր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Ե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Ն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Ք</w:t>
      </w:r>
      <w:r w:rsidRPr="00B93E7B">
        <w:rPr>
          <w:b/>
          <w:sz w:val="24"/>
          <w:szCs w:val="24"/>
        </w:rPr>
        <w:t xml:space="preserve"> </w:t>
      </w:r>
      <w:r w:rsidRPr="00B93E7B">
        <w:rPr>
          <w:rFonts w:cs="Sylfaen"/>
          <w:b/>
          <w:sz w:val="24"/>
          <w:szCs w:val="24"/>
        </w:rPr>
        <w:t>Ը</w:t>
      </w:r>
    </w:p>
    <w:p w:rsidR="00F202D6" w:rsidRPr="00B93E7B" w:rsidRDefault="001C4EB8" w:rsidP="00B93E7B">
      <w:pPr>
        <w:spacing w:line="360" w:lineRule="auto"/>
        <w:jc w:val="center"/>
        <w:rPr>
          <w:rFonts w:cs="Sylfaen"/>
          <w:b/>
          <w:sz w:val="24"/>
          <w:szCs w:val="24"/>
        </w:rPr>
      </w:pPr>
      <w:r w:rsidRPr="00B93E7B">
        <w:rPr>
          <w:rFonts w:cs="Sylfaen"/>
          <w:b/>
          <w:sz w:val="24"/>
          <w:szCs w:val="24"/>
        </w:rPr>
        <w:t xml:space="preserve">ԿԵՆՍԱԹՈՇԱԿԱՅԻՆ ՀԱՄԱԿԱՐԳԻ </w:t>
      </w:r>
      <w:r w:rsidR="00F202D6" w:rsidRPr="00B93E7B">
        <w:rPr>
          <w:rFonts w:cs="Sylfaen"/>
          <w:b/>
          <w:sz w:val="24"/>
          <w:szCs w:val="24"/>
        </w:rPr>
        <w:t>ԿՈՒՏԱԿԱՅԻՆ ԲԱՂԱԴՐԻՉԻ ՄԱՍՆԱԿԻՑՆԵՐԻ ԻՐԱՎՈՒՆՔՆԵՐԻ ԵՎ ՕՐԻՆԱԿԱՆ ՇԱՀԵՐԻ ՊԱՇՏՊԱՆՈՒԹՅԱՆ ԼՐԱՑՈՒՑԻՉ ԵՐԱՇԽԻՔՆԵՐԻ ՄԱՍԻՆ</w:t>
      </w:r>
    </w:p>
    <w:p w:rsidR="00F202D6" w:rsidRPr="00B93E7B" w:rsidRDefault="00F202D6" w:rsidP="00B93E7B">
      <w:pPr>
        <w:spacing w:line="360" w:lineRule="auto"/>
        <w:ind w:firstLine="720"/>
        <w:jc w:val="both"/>
        <w:rPr>
          <w:rFonts w:cs="Sylfaen"/>
          <w:sz w:val="24"/>
          <w:szCs w:val="24"/>
        </w:rPr>
      </w:pPr>
      <w:proofErr w:type="spellStart"/>
      <w:r w:rsidRPr="00B93E7B">
        <w:rPr>
          <w:rFonts w:cs="Sylfaen"/>
          <w:sz w:val="24"/>
          <w:szCs w:val="24"/>
        </w:rPr>
        <w:t>Սույն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օրենքի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նպատակը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r w:rsidR="00FA1130" w:rsidRPr="00B93E7B">
        <w:rPr>
          <w:rFonts w:cs="Sylfaen"/>
          <w:sz w:val="24"/>
          <w:szCs w:val="24"/>
        </w:rPr>
        <w:t>«</w:t>
      </w:r>
      <w:proofErr w:type="spellStart"/>
      <w:r w:rsidR="00FA1130" w:rsidRPr="00B93E7B">
        <w:rPr>
          <w:rFonts w:cs="Sylfaen"/>
          <w:sz w:val="24"/>
          <w:szCs w:val="24"/>
        </w:rPr>
        <w:t>Կուտակային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կենսաթոշակների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մասին</w:t>
      </w:r>
      <w:proofErr w:type="spellEnd"/>
      <w:r w:rsidR="00FA1130" w:rsidRPr="00B93E7B">
        <w:rPr>
          <w:rFonts w:cs="Sylfaen"/>
          <w:sz w:val="24"/>
          <w:szCs w:val="24"/>
        </w:rPr>
        <w:t xml:space="preserve">» </w:t>
      </w:r>
      <w:proofErr w:type="spellStart"/>
      <w:r w:rsidR="00FA1130" w:rsidRPr="00B93E7B">
        <w:rPr>
          <w:rFonts w:cs="Sylfaen"/>
          <w:sz w:val="24"/>
          <w:szCs w:val="24"/>
        </w:rPr>
        <w:t>Հայաստանի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Հանրապետության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օրենքի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դրույթների</w:t>
      </w:r>
      <w:proofErr w:type="spellEnd"/>
      <w:r w:rsidR="00FA1130" w:rsidRPr="00B93E7B">
        <w:rPr>
          <w:rFonts w:cs="Sylfaen"/>
          <w:sz w:val="24"/>
          <w:szCs w:val="24"/>
        </w:rPr>
        <w:t xml:space="preserve">  </w:t>
      </w:r>
      <w:proofErr w:type="spellStart"/>
      <w:r w:rsidR="00FA1130" w:rsidRPr="00B93E7B">
        <w:rPr>
          <w:rFonts w:cs="Sylfaen"/>
          <w:sz w:val="24"/>
          <w:szCs w:val="24"/>
        </w:rPr>
        <w:t>ապահովման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նպատակով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սոցիալական</w:t>
      </w:r>
      <w:proofErr w:type="spellEnd"/>
      <w:r w:rsidR="007919F5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վճարներ</w:t>
      </w:r>
      <w:proofErr w:type="spellEnd"/>
      <w:r w:rsidR="007919F5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կատարող</w:t>
      </w:r>
      <w:proofErr w:type="spellEnd"/>
      <w:r w:rsidR="007919F5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անձանց</w:t>
      </w:r>
      <w:proofErr w:type="spellEnd"/>
      <w:r w:rsidR="007919F5" w:rsidRPr="00B93E7B">
        <w:rPr>
          <w:rFonts w:cs="Sylfaen"/>
          <w:sz w:val="24"/>
          <w:szCs w:val="24"/>
        </w:rPr>
        <w:t xml:space="preserve"> </w:t>
      </w:r>
      <w:proofErr w:type="spellStart"/>
      <w:r w:rsidR="007919F5" w:rsidRPr="00B93E7B">
        <w:rPr>
          <w:rFonts w:cs="Sylfaen"/>
          <w:sz w:val="24"/>
          <w:szCs w:val="24"/>
        </w:rPr>
        <w:t>համար</w:t>
      </w:r>
      <w:proofErr w:type="spellEnd"/>
      <w:r w:rsidR="007919F5" w:rsidRPr="00B93E7B">
        <w:rPr>
          <w:rFonts w:cs="Sylfaen"/>
          <w:sz w:val="24"/>
          <w:szCs w:val="24"/>
        </w:rPr>
        <w:t xml:space="preserve"> (</w:t>
      </w:r>
      <w:proofErr w:type="spellStart"/>
      <w:r w:rsidR="007919F5" w:rsidRPr="00B93E7B">
        <w:rPr>
          <w:rFonts w:cs="Sylfaen"/>
          <w:sz w:val="24"/>
          <w:szCs w:val="24"/>
        </w:rPr>
        <w:t>օգտին</w:t>
      </w:r>
      <w:proofErr w:type="spellEnd"/>
      <w:r w:rsidR="007919F5" w:rsidRPr="00B93E7B">
        <w:rPr>
          <w:rFonts w:cs="Sylfaen"/>
          <w:sz w:val="24"/>
          <w:szCs w:val="24"/>
        </w:rPr>
        <w:t xml:space="preserve">) </w:t>
      </w:r>
      <w:proofErr w:type="spellStart"/>
      <w:r w:rsidR="00FA1130" w:rsidRPr="00B93E7B">
        <w:rPr>
          <w:rFonts w:cs="Sylfaen"/>
          <w:sz w:val="24"/>
          <w:szCs w:val="24"/>
        </w:rPr>
        <w:t>կատարված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կուտակային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հատկացումներ</w:t>
      </w:r>
      <w:proofErr w:type="spellEnd"/>
      <w:r w:rsidR="001325A8">
        <w:rPr>
          <w:rFonts w:cs="Sylfaen"/>
          <w:sz w:val="24"/>
          <w:szCs w:val="24"/>
          <w:lang w:val="hy-AM"/>
        </w:rPr>
        <w:t xml:space="preserve">ի </w:t>
      </w:r>
      <w:proofErr w:type="spellStart"/>
      <w:r w:rsidR="001C4EB8" w:rsidRPr="00B93E7B">
        <w:rPr>
          <w:rFonts w:cs="Sylfaen"/>
          <w:sz w:val="24"/>
          <w:szCs w:val="24"/>
        </w:rPr>
        <w:t>հաշվին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ձեռք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բերված</w:t>
      </w:r>
      <w:proofErr w:type="spellEnd"/>
      <w:r w:rsidR="001C4EB8" w:rsidRPr="00B93E7B">
        <w:rPr>
          <w:rFonts w:cs="Sylfaen"/>
          <w:sz w:val="24"/>
          <w:szCs w:val="24"/>
        </w:rPr>
        <w:t xml:space="preserve">՝ </w:t>
      </w:r>
      <w:proofErr w:type="spellStart"/>
      <w:r w:rsidR="001C4EB8" w:rsidRPr="00B93E7B">
        <w:rPr>
          <w:rFonts w:cs="Sylfaen"/>
          <w:sz w:val="24"/>
          <w:szCs w:val="24"/>
        </w:rPr>
        <w:t>պարտադիր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կենսաթոշակային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ֆոնդի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cs="Sylfaen"/>
          <w:sz w:val="24"/>
          <w:szCs w:val="24"/>
        </w:rPr>
        <w:t>փայերի</w:t>
      </w:r>
      <w:proofErr w:type="spellEnd"/>
      <w:r w:rsidR="001C4EB8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նկատմամբ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սեփականության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անձեռնմխելիության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ամրագրումն</w:t>
      </w:r>
      <w:proofErr w:type="spellEnd"/>
      <w:r w:rsidR="00FA1130" w:rsidRPr="00B93E7B">
        <w:rPr>
          <w:rFonts w:cs="Sylfaen"/>
          <w:sz w:val="24"/>
          <w:szCs w:val="24"/>
        </w:rPr>
        <w:t xml:space="preserve"> է, </w:t>
      </w:r>
      <w:proofErr w:type="spellStart"/>
      <w:r w:rsidR="00FA1130" w:rsidRPr="00B93E7B">
        <w:rPr>
          <w:rFonts w:cs="Sylfaen"/>
          <w:sz w:val="24"/>
          <w:szCs w:val="24"/>
        </w:rPr>
        <w:t>կուտակային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բաղադրիչի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մասնակիցների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իրավունքների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r w:rsidR="00FA1130" w:rsidRPr="00B93E7B">
        <w:rPr>
          <w:rFonts w:cs="Sylfaen"/>
          <w:sz w:val="24"/>
          <w:szCs w:val="24"/>
        </w:rPr>
        <w:t>և</w:t>
      </w:r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օրինական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շահերի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պաշտպանության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լրացուցիչ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երաշխիքների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սահմանում</w:t>
      </w:r>
      <w:r w:rsidR="00FA1130" w:rsidRPr="00B93E7B">
        <w:rPr>
          <w:rFonts w:cs="Sylfaen"/>
          <w:sz w:val="24"/>
          <w:szCs w:val="24"/>
        </w:rPr>
        <w:t>ը</w:t>
      </w:r>
      <w:proofErr w:type="spellEnd"/>
      <w:r w:rsidRPr="00B93E7B">
        <w:rPr>
          <w:rFonts w:cs="Sylfaen"/>
          <w:sz w:val="24"/>
          <w:szCs w:val="24"/>
        </w:rPr>
        <w:t xml:space="preserve">, </w:t>
      </w:r>
      <w:proofErr w:type="spellStart"/>
      <w:r w:rsidRPr="00B93E7B">
        <w:rPr>
          <w:rFonts w:cs="Sylfaen"/>
          <w:sz w:val="24"/>
          <w:szCs w:val="24"/>
        </w:rPr>
        <w:t>դրանց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պաշտպանության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անընդհատության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ապահովման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sz w:val="24"/>
          <w:szCs w:val="24"/>
        </w:rPr>
        <w:t>սահմանումը</w:t>
      </w:r>
      <w:proofErr w:type="spellEnd"/>
      <w:r w:rsidR="00E35145" w:rsidRPr="00B93E7B">
        <w:rPr>
          <w:rFonts w:cs="Sylfaen"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sz w:val="24"/>
          <w:szCs w:val="24"/>
        </w:rPr>
        <w:t>Օրենքով</w:t>
      </w:r>
      <w:proofErr w:type="spellEnd"/>
      <w:r w:rsidR="00E35145" w:rsidRPr="00B93E7B">
        <w:rPr>
          <w:rFonts w:cs="Sylfaen"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sz w:val="24"/>
          <w:szCs w:val="24"/>
        </w:rPr>
        <w:t>նախատեսված</w:t>
      </w:r>
      <w:proofErr w:type="spellEnd"/>
      <w:r w:rsidR="00E35145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արտակարգ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դրության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հայտատարման</w:t>
      </w:r>
      <w:proofErr w:type="spellEnd"/>
      <w:r w:rsidR="00FA1130" w:rsidRPr="00B93E7B">
        <w:rPr>
          <w:rFonts w:cs="Sylfaen"/>
          <w:sz w:val="24"/>
          <w:szCs w:val="24"/>
        </w:rPr>
        <w:t xml:space="preserve"> </w:t>
      </w:r>
      <w:proofErr w:type="spellStart"/>
      <w:r w:rsidR="00FA1130" w:rsidRPr="00B93E7B">
        <w:rPr>
          <w:rFonts w:cs="Sylfaen"/>
          <w:sz w:val="24"/>
          <w:szCs w:val="24"/>
        </w:rPr>
        <w:t>դեպքերում</w:t>
      </w:r>
      <w:proofErr w:type="spellEnd"/>
      <w:r w:rsidR="00FA1130" w:rsidRPr="00B93E7B">
        <w:rPr>
          <w:rFonts w:cs="Sylfaen"/>
          <w:sz w:val="24"/>
          <w:szCs w:val="24"/>
        </w:rPr>
        <w:t xml:space="preserve">:  </w:t>
      </w:r>
    </w:p>
    <w:p w:rsidR="0079403A" w:rsidRPr="00B93E7B" w:rsidRDefault="00CC7554" w:rsidP="00B93E7B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B93E7B">
        <w:rPr>
          <w:b/>
          <w:sz w:val="24"/>
          <w:szCs w:val="24"/>
        </w:rPr>
        <w:t>Հոդված</w:t>
      </w:r>
      <w:proofErr w:type="spellEnd"/>
      <w:r w:rsidR="0000761D" w:rsidRPr="00B93E7B">
        <w:rPr>
          <w:b/>
          <w:sz w:val="24"/>
          <w:szCs w:val="24"/>
        </w:rPr>
        <w:t xml:space="preserve"> 1.</w:t>
      </w:r>
      <w:proofErr w:type="gramEnd"/>
      <w:r w:rsidR="0000761D" w:rsidRPr="00B93E7B">
        <w:rPr>
          <w:b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sz w:val="24"/>
          <w:szCs w:val="24"/>
        </w:rPr>
        <w:t>Կուտակային</w:t>
      </w:r>
      <w:proofErr w:type="spellEnd"/>
      <w:r w:rsidRPr="00B93E7B">
        <w:rPr>
          <w:rFonts w:cs="Sylfaen"/>
          <w:b/>
          <w:sz w:val="24"/>
          <w:szCs w:val="24"/>
        </w:rPr>
        <w:t xml:space="preserve"> </w:t>
      </w:r>
      <w:r w:rsidR="001325A8">
        <w:rPr>
          <w:rFonts w:cs="Sylfaen"/>
          <w:b/>
          <w:sz w:val="24"/>
          <w:szCs w:val="24"/>
          <w:lang w:val="hy-AM"/>
        </w:rPr>
        <w:t>հատկացումների</w:t>
      </w:r>
      <w:r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sz w:val="24"/>
          <w:szCs w:val="24"/>
        </w:rPr>
        <w:t>անձեռնմխելիությունը</w:t>
      </w:r>
      <w:proofErr w:type="spellEnd"/>
    </w:p>
    <w:p w:rsidR="0079403A" w:rsidRPr="00B93E7B" w:rsidRDefault="00CC7554" w:rsidP="00B93E7B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օգտին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) </w:t>
      </w:r>
      <w:r w:rsidR="001325A8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r w:rsidR="001325A8">
        <w:rPr>
          <w:rFonts w:ascii="GHEA Grapalat" w:hAnsi="GHEA Grapalat" w:cs="Sylfaen"/>
          <w:sz w:val="24"/>
          <w:szCs w:val="24"/>
          <w:lang w:val="hy-AM"/>
        </w:rPr>
        <w:t>հատկացումները</w:t>
      </w:r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օգտագործվել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բացառապես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համակարգից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նպատակներով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CC7554" w:rsidP="00B93E7B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ոքի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կարելի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զրկել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օգտին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վճարված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r w:rsidR="001325A8">
        <w:rPr>
          <w:rFonts w:ascii="GHEA Grapalat" w:hAnsi="GHEA Grapalat" w:cs="Sylfaen"/>
          <w:sz w:val="24"/>
          <w:szCs w:val="24"/>
          <w:lang w:val="hy-AM"/>
        </w:rPr>
        <w:t>հատկացումն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երից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ձեռք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բերված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կենսաթոշակային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փայերից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>)</w:t>
      </w:r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հանրագումարի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իրավունքից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դրույթից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բացառություններ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նախատեսվել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բաղադրիչի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lastRenderedPageBreak/>
        <w:t>մասնակիցների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օգտին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) </w:t>
      </w:r>
      <w:r w:rsidR="001325A8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1325A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325A8"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="001325A8" w:rsidRPr="00B93E7B">
        <w:rPr>
          <w:rFonts w:ascii="GHEA Grapalat" w:hAnsi="GHEA Grapalat" w:cs="Sylfaen"/>
          <w:sz w:val="24"/>
          <w:szCs w:val="24"/>
        </w:rPr>
        <w:t xml:space="preserve"> </w:t>
      </w:r>
      <w:r w:rsidR="001325A8">
        <w:rPr>
          <w:rFonts w:ascii="GHEA Grapalat" w:hAnsi="GHEA Grapalat" w:cs="Sylfaen"/>
          <w:sz w:val="24"/>
          <w:szCs w:val="24"/>
          <w:lang w:val="hy-AM"/>
        </w:rPr>
        <w:t>հատկացումները</w:t>
      </w:r>
      <w:r w:rsidR="001325A8" w:rsidRPr="00B93E7B">
        <w:rPr>
          <w:rFonts w:ascii="GHEA Grapalat" w:hAnsi="GHEA Grapalat" w:cs="Sylfaen"/>
          <w:sz w:val="24"/>
          <w:szCs w:val="24"/>
        </w:rPr>
        <w:t xml:space="preserve"> </w:t>
      </w:r>
      <w:r w:rsidRPr="00B93E7B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հանրագումարը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4810" w:rsidRPr="00B93E7B">
        <w:rPr>
          <w:rFonts w:ascii="GHEA Grapalat" w:hAnsi="GHEA Grapalat" w:cs="Sylfaen"/>
          <w:sz w:val="24"/>
          <w:szCs w:val="24"/>
        </w:rPr>
        <w:t>չի</w:t>
      </w:r>
      <w:proofErr w:type="spellEnd"/>
      <w:r w:rsidR="00084810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4810"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084810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ազգայնացվել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օտարվել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կերպ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օգտագործվել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084810" w:rsidP="00B93E7B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B93E7B">
        <w:rPr>
          <w:b/>
          <w:sz w:val="24"/>
          <w:szCs w:val="24"/>
        </w:rPr>
        <w:t>Հոդված</w:t>
      </w:r>
      <w:proofErr w:type="spellEnd"/>
      <w:r w:rsidRPr="00B93E7B">
        <w:rPr>
          <w:b/>
          <w:sz w:val="24"/>
          <w:szCs w:val="24"/>
        </w:rPr>
        <w:t xml:space="preserve"> </w:t>
      </w:r>
      <w:r w:rsidR="0000761D" w:rsidRPr="00B93E7B">
        <w:rPr>
          <w:b/>
          <w:sz w:val="24"/>
          <w:szCs w:val="24"/>
        </w:rPr>
        <w:t>2.</w:t>
      </w:r>
      <w:proofErr w:type="gramEnd"/>
      <w:r w:rsidR="0000761D" w:rsidRPr="00B93E7B">
        <w:rPr>
          <w:b/>
          <w:sz w:val="24"/>
          <w:szCs w:val="24"/>
        </w:rPr>
        <w:t xml:space="preserve"> </w:t>
      </w:r>
      <w:proofErr w:type="spellStart"/>
      <w:r w:rsidR="001C4EB8" w:rsidRPr="00B93E7B">
        <w:rPr>
          <w:b/>
          <w:sz w:val="24"/>
          <w:szCs w:val="24"/>
        </w:rPr>
        <w:t>Կենսաթոշակային</w:t>
      </w:r>
      <w:proofErr w:type="spellEnd"/>
      <w:r w:rsidR="001C4EB8" w:rsidRPr="00B93E7B">
        <w:rPr>
          <w:b/>
          <w:sz w:val="24"/>
          <w:szCs w:val="24"/>
        </w:rPr>
        <w:t xml:space="preserve"> </w:t>
      </w:r>
      <w:proofErr w:type="spellStart"/>
      <w:r w:rsidR="001C4EB8" w:rsidRPr="00B93E7B">
        <w:rPr>
          <w:b/>
          <w:sz w:val="24"/>
          <w:szCs w:val="24"/>
        </w:rPr>
        <w:t>համակարգի</w:t>
      </w:r>
      <w:proofErr w:type="spellEnd"/>
      <w:r w:rsidR="001C4EB8" w:rsidRPr="00B93E7B">
        <w:rPr>
          <w:b/>
          <w:sz w:val="24"/>
          <w:szCs w:val="24"/>
        </w:rPr>
        <w:t xml:space="preserve"> </w:t>
      </w:r>
      <w:proofErr w:type="spellStart"/>
      <w:r w:rsidR="001C4EB8" w:rsidRPr="00B93E7B">
        <w:rPr>
          <w:b/>
          <w:sz w:val="24"/>
          <w:szCs w:val="24"/>
        </w:rPr>
        <w:t>կ</w:t>
      </w:r>
      <w:r w:rsidR="00D21805" w:rsidRPr="00B93E7B">
        <w:rPr>
          <w:b/>
          <w:sz w:val="24"/>
          <w:szCs w:val="24"/>
        </w:rPr>
        <w:t>ուտակային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բաղադրիչի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մասնակցի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իրավունքների</w:t>
      </w:r>
      <w:proofErr w:type="spellEnd"/>
      <w:r w:rsidR="00D21805" w:rsidRPr="00B93E7B">
        <w:rPr>
          <w:b/>
          <w:sz w:val="24"/>
          <w:szCs w:val="24"/>
        </w:rPr>
        <w:t xml:space="preserve"> և </w:t>
      </w:r>
      <w:proofErr w:type="spellStart"/>
      <w:r w:rsidR="00D21805" w:rsidRPr="00B93E7B">
        <w:rPr>
          <w:b/>
          <w:sz w:val="24"/>
          <w:szCs w:val="24"/>
        </w:rPr>
        <w:t>օրինական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շահերի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պաշտպանության</w:t>
      </w:r>
      <w:proofErr w:type="spellEnd"/>
      <w:r w:rsidR="00D21805" w:rsidRPr="00B93E7B">
        <w:rPr>
          <w:b/>
          <w:sz w:val="24"/>
          <w:szCs w:val="24"/>
        </w:rPr>
        <w:t xml:space="preserve"> </w:t>
      </w:r>
      <w:proofErr w:type="spellStart"/>
      <w:r w:rsidR="00D21805" w:rsidRPr="00B93E7B">
        <w:rPr>
          <w:b/>
          <w:sz w:val="24"/>
          <w:szCs w:val="24"/>
        </w:rPr>
        <w:t>անընդհատությունը</w:t>
      </w:r>
      <w:proofErr w:type="spellEnd"/>
    </w:p>
    <w:p w:rsidR="0079403A" w:rsidRPr="00B93E7B" w:rsidRDefault="0079403A" w:rsidP="00B93E7B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կ</w:t>
      </w:r>
      <w:r w:rsidRPr="00B93E7B">
        <w:rPr>
          <w:rFonts w:ascii="GHEA Grapalat" w:hAnsi="GHEA Grapalat" w:cs="Sylfaen"/>
          <w:sz w:val="24"/>
          <w:szCs w:val="24"/>
        </w:rPr>
        <w:t>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բաղադրիչի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>՝</w:t>
      </w:r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օրենքներով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պաշտպանությունը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երաշխավորվում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է: </w:t>
      </w:r>
    </w:p>
    <w:p w:rsidR="0079403A" w:rsidRPr="00B93E7B" w:rsidRDefault="0079403A" w:rsidP="00B93E7B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պարտավորվում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>՝</w:t>
      </w:r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Օրենքից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անընդհատության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երաշխիքներ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անհաղթահարելի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ֆորս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մաժորի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հետևանքով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առաջացած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պատահարների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պայմաններում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դրություն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79403A" w:rsidP="00B93E7B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բանկը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դեպքերի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հասնելու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հավանականությունը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համատեղ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կենսաթոշակային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4EB8" w:rsidRPr="00B93E7B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="001C4EB8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բաղադրիչի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մեխանիզմներ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երաշխիքներ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:    </w:t>
      </w:r>
    </w:p>
    <w:p w:rsidR="0079403A" w:rsidRPr="00B93E7B" w:rsidRDefault="00D16B0C" w:rsidP="00B93E7B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B93E7B">
        <w:rPr>
          <w:b/>
          <w:sz w:val="24"/>
          <w:szCs w:val="24"/>
        </w:rPr>
        <w:t>Հոդված</w:t>
      </w:r>
      <w:proofErr w:type="spellEnd"/>
      <w:r w:rsidRPr="00B93E7B">
        <w:rPr>
          <w:b/>
          <w:sz w:val="24"/>
          <w:szCs w:val="24"/>
        </w:rPr>
        <w:t xml:space="preserve"> </w:t>
      </w:r>
      <w:r w:rsidR="0000761D" w:rsidRPr="00B93E7B">
        <w:rPr>
          <w:b/>
          <w:sz w:val="24"/>
          <w:szCs w:val="24"/>
        </w:rPr>
        <w:t>3.</w:t>
      </w:r>
      <w:proofErr w:type="gramEnd"/>
      <w:r w:rsidR="0000761D" w:rsidRPr="00B93E7B">
        <w:rPr>
          <w:b/>
          <w:sz w:val="24"/>
          <w:szCs w:val="24"/>
        </w:rPr>
        <w:t xml:space="preserve"> </w:t>
      </w:r>
      <w:proofErr w:type="spellStart"/>
      <w:r w:rsidR="0000761D" w:rsidRPr="00B93E7B">
        <w:rPr>
          <w:rFonts w:cs="Sylfaen"/>
          <w:b/>
          <w:sz w:val="24"/>
          <w:szCs w:val="24"/>
        </w:rPr>
        <w:t>Մասնակցի</w:t>
      </w:r>
      <w:proofErr w:type="spellEnd"/>
      <w:r w:rsidR="0000761D" w:rsidRPr="00B93E7B">
        <w:rPr>
          <w:rFonts w:cs="Sylfaen"/>
          <w:b/>
          <w:sz w:val="24"/>
          <w:szCs w:val="24"/>
        </w:rPr>
        <w:t xml:space="preserve">՝ </w:t>
      </w:r>
      <w:proofErr w:type="spellStart"/>
      <w:r w:rsidR="0000761D" w:rsidRPr="00B93E7B">
        <w:rPr>
          <w:rFonts w:cs="Sylfaen"/>
          <w:b/>
          <w:sz w:val="24"/>
          <w:szCs w:val="24"/>
        </w:rPr>
        <w:t>իր</w:t>
      </w:r>
      <w:proofErr w:type="spellEnd"/>
      <w:r w:rsidR="0000761D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00761D" w:rsidRPr="00B93E7B">
        <w:rPr>
          <w:rFonts w:cs="Sylfaen"/>
          <w:b/>
          <w:sz w:val="24"/>
          <w:szCs w:val="24"/>
        </w:rPr>
        <w:t>իրավունքների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, </w:t>
      </w:r>
      <w:proofErr w:type="spellStart"/>
      <w:r w:rsidR="00AA2522" w:rsidRPr="00B93E7B">
        <w:rPr>
          <w:rFonts w:cs="Sylfaen"/>
          <w:b/>
          <w:sz w:val="24"/>
          <w:szCs w:val="24"/>
        </w:rPr>
        <w:t>օրինական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AA2522" w:rsidRPr="00B93E7B">
        <w:rPr>
          <w:rFonts w:cs="Sylfaen"/>
          <w:b/>
          <w:sz w:val="24"/>
          <w:szCs w:val="24"/>
        </w:rPr>
        <w:t>շահերի</w:t>
      </w:r>
      <w:proofErr w:type="spellEnd"/>
      <w:r w:rsidR="0000761D" w:rsidRPr="00B93E7B">
        <w:rPr>
          <w:rFonts w:cs="Sylfaen"/>
          <w:b/>
          <w:sz w:val="24"/>
          <w:szCs w:val="24"/>
        </w:rPr>
        <w:t xml:space="preserve"> </w:t>
      </w:r>
      <w:r w:rsidR="00AA2522" w:rsidRPr="00B93E7B">
        <w:rPr>
          <w:rFonts w:cs="Sylfaen"/>
          <w:b/>
          <w:sz w:val="24"/>
          <w:szCs w:val="24"/>
        </w:rPr>
        <w:t>և</w:t>
      </w:r>
      <w:r w:rsidR="0000761D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00761D" w:rsidRPr="00B93E7B">
        <w:rPr>
          <w:rFonts w:cs="Sylfaen"/>
          <w:b/>
          <w:sz w:val="24"/>
          <w:szCs w:val="24"/>
        </w:rPr>
        <w:t>պարտականությունների</w:t>
      </w:r>
      <w:proofErr w:type="spellEnd"/>
      <w:r w:rsidR="0000761D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00761D" w:rsidRPr="00B93E7B">
        <w:rPr>
          <w:rFonts w:cs="Sylfaen"/>
          <w:b/>
          <w:sz w:val="24"/>
          <w:szCs w:val="24"/>
        </w:rPr>
        <w:t>վերաբերյալ</w:t>
      </w:r>
      <w:proofErr w:type="spellEnd"/>
      <w:r w:rsidR="0000761D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AA2522" w:rsidRPr="00B93E7B">
        <w:rPr>
          <w:rFonts w:cs="Sylfaen"/>
          <w:b/>
          <w:sz w:val="24"/>
          <w:szCs w:val="24"/>
        </w:rPr>
        <w:t>վարչական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AA2522" w:rsidRPr="00B93E7B">
        <w:rPr>
          <w:rFonts w:cs="Sylfaen"/>
          <w:b/>
          <w:sz w:val="24"/>
          <w:szCs w:val="24"/>
        </w:rPr>
        <w:t>մարմիններից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AA2522" w:rsidRPr="00B93E7B">
        <w:rPr>
          <w:rFonts w:cs="Sylfaen"/>
          <w:b/>
          <w:sz w:val="24"/>
          <w:szCs w:val="24"/>
        </w:rPr>
        <w:t>տեղեկատվություն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AA2522" w:rsidRPr="00B93E7B">
        <w:rPr>
          <w:rFonts w:cs="Sylfaen"/>
          <w:b/>
          <w:sz w:val="24"/>
          <w:szCs w:val="24"/>
        </w:rPr>
        <w:t>ստանալու</w:t>
      </w:r>
      <w:proofErr w:type="spellEnd"/>
      <w:r w:rsidR="00AA2522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00761D" w:rsidRPr="00B93E7B">
        <w:rPr>
          <w:rFonts w:cs="Sylfaen"/>
          <w:b/>
          <w:sz w:val="24"/>
          <w:szCs w:val="24"/>
        </w:rPr>
        <w:t>իրավունքը</w:t>
      </w:r>
      <w:proofErr w:type="spellEnd"/>
    </w:p>
    <w:p w:rsidR="0079403A" w:rsidRPr="00B93E7B" w:rsidRDefault="00C16445" w:rsidP="00B93E7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lastRenderedPageBreak/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պարտավոր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տեղեկացնել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եւ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տրամադրել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եւ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պատասխանել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հարցերին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C16445" w:rsidP="00B93E7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տրամադրելիս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առաջնորդվում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ողջամտության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կանխավարկածով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C16445" w:rsidP="00B93E7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տրամադրում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պարզ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մատչելի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հայերենով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C16445" w:rsidP="00B93E7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խնդրանքով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ներկայացուցիչը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ապահովում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տրամադրումը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օտար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լեզվով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00761D" w:rsidP="00B93E7B">
      <w:pPr>
        <w:spacing w:line="360" w:lineRule="auto"/>
        <w:ind w:firstLine="720"/>
        <w:jc w:val="both"/>
        <w:rPr>
          <w:rFonts w:eastAsia="Times New Roman" w:cs="Sylfaen"/>
          <w:sz w:val="24"/>
          <w:szCs w:val="24"/>
        </w:rPr>
      </w:pPr>
      <w:proofErr w:type="spellStart"/>
      <w:proofErr w:type="gramStart"/>
      <w:r w:rsidRPr="00B93E7B">
        <w:rPr>
          <w:rFonts w:eastAsia="Times New Roman" w:cs="Sylfaen"/>
          <w:b/>
          <w:bCs/>
          <w:sz w:val="24"/>
          <w:szCs w:val="24"/>
        </w:rPr>
        <w:t>Հոդված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4.</w:t>
      </w:r>
      <w:proofErr w:type="gram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Մասնակցի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՝ </w:t>
      </w:r>
      <w:proofErr w:type="spellStart"/>
      <w:r w:rsidR="00E35145" w:rsidRPr="00B93E7B">
        <w:rPr>
          <w:rFonts w:cs="Sylfaen"/>
          <w:b/>
          <w:sz w:val="24"/>
          <w:szCs w:val="24"/>
        </w:rPr>
        <w:t>իր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իրավունքների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, </w:t>
      </w:r>
      <w:proofErr w:type="spellStart"/>
      <w:r w:rsidR="00E35145" w:rsidRPr="00B93E7B">
        <w:rPr>
          <w:rFonts w:cs="Sylfaen"/>
          <w:b/>
          <w:sz w:val="24"/>
          <w:szCs w:val="24"/>
        </w:rPr>
        <w:t>օրինական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շահերի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և </w:t>
      </w:r>
      <w:proofErr w:type="spellStart"/>
      <w:r w:rsidR="00E35145" w:rsidRPr="00B93E7B">
        <w:rPr>
          <w:rFonts w:cs="Sylfaen"/>
          <w:b/>
          <w:sz w:val="24"/>
          <w:szCs w:val="24"/>
        </w:rPr>
        <w:t>պարտականությունների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վերաբերյալ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իրազեկվածությունը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</w:p>
    <w:p w:rsidR="0079403A" w:rsidRPr="00B93E7B" w:rsidRDefault="00C16445" w:rsidP="00B93E7B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93E7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կիրառումն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պարտավոր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ողջ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79403A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հասանելիությունը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: </w:t>
      </w:r>
    </w:p>
    <w:p w:rsidR="0079403A" w:rsidRPr="00B93E7B" w:rsidRDefault="00C16445" w:rsidP="00B93E7B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93E7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կիրառումն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պարտավոր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ինտերնետային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էջում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ունենալ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ենթաէջ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79403A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ամբողջական</w:t>
      </w:r>
      <w:proofErr w:type="spellEnd"/>
      <w:r w:rsidR="0079403A"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տեղեկատվությամբ</w:t>
      </w:r>
      <w:proofErr w:type="spellEnd"/>
      <w:r w:rsidR="0000761D"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00761D" w:rsidP="00B93E7B">
      <w:pPr>
        <w:spacing w:line="360" w:lineRule="auto"/>
        <w:ind w:firstLine="720"/>
        <w:jc w:val="both"/>
        <w:rPr>
          <w:rFonts w:cs="Sylfaen"/>
          <w:b/>
          <w:sz w:val="24"/>
          <w:szCs w:val="24"/>
        </w:rPr>
      </w:pPr>
      <w:proofErr w:type="spellStart"/>
      <w:proofErr w:type="gramStart"/>
      <w:r w:rsidRPr="00B93E7B">
        <w:rPr>
          <w:rFonts w:cs="Sylfaen"/>
          <w:b/>
          <w:sz w:val="24"/>
          <w:szCs w:val="24"/>
        </w:rPr>
        <w:lastRenderedPageBreak/>
        <w:t>Հոդված</w:t>
      </w:r>
      <w:proofErr w:type="spellEnd"/>
      <w:r w:rsidRPr="00B93E7B">
        <w:rPr>
          <w:rFonts w:cs="Sylfaen"/>
          <w:b/>
          <w:sz w:val="24"/>
          <w:szCs w:val="24"/>
        </w:rPr>
        <w:t xml:space="preserve"> </w:t>
      </w:r>
      <w:r w:rsidR="001409CE" w:rsidRPr="00B93E7B">
        <w:rPr>
          <w:rFonts w:cs="Sylfaen"/>
          <w:b/>
          <w:sz w:val="24"/>
          <w:szCs w:val="24"/>
        </w:rPr>
        <w:t>5</w:t>
      </w:r>
      <w:r w:rsidRPr="00B93E7B">
        <w:rPr>
          <w:rFonts w:cs="Sylfaen"/>
          <w:b/>
          <w:sz w:val="24"/>
          <w:szCs w:val="24"/>
        </w:rPr>
        <w:t>.</w:t>
      </w:r>
      <w:proofErr w:type="gramEnd"/>
      <w:r w:rsidRPr="00B93E7B">
        <w:rPr>
          <w:rFonts w:cs="Sylfaen"/>
          <w:b/>
          <w:sz w:val="24"/>
          <w:szCs w:val="24"/>
        </w:rPr>
        <w:t xml:space="preserve"> </w:t>
      </w:r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Ֆինանսական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համակարգի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հաշտարարին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դիմելու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մասնակցի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E35145" w:rsidRPr="00B93E7B">
        <w:rPr>
          <w:rFonts w:cs="Sylfaen"/>
          <w:b/>
          <w:sz w:val="24"/>
          <w:szCs w:val="24"/>
        </w:rPr>
        <w:t>իրավունքը</w:t>
      </w:r>
      <w:proofErr w:type="spellEnd"/>
      <w:r w:rsidR="00E35145" w:rsidRPr="00B93E7B">
        <w:rPr>
          <w:rFonts w:cs="Sylfaen"/>
          <w:b/>
          <w:sz w:val="24"/>
          <w:szCs w:val="24"/>
        </w:rPr>
        <w:t xml:space="preserve"> </w:t>
      </w:r>
    </w:p>
    <w:p w:rsidR="0079403A" w:rsidRPr="00B93E7B" w:rsidRDefault="00C16445" w:rsidP="00B93E7B">
      <w:pPr>
        <w:pStyle w:val="ListParagraph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Մասնակիցը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«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կենսաթոշակների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երաշխավորված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պահանջ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հաշտարարին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հաշտարարի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հիմքերով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C16445" w:rsidP="00B93E7B">
      <w:pPr>
        <w:pStyle w:val="ListParagraph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մասում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օրենքներից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վեճերը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բողոքարկվելուց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հաշտարարի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քննմանը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sz w:val="24"/>
          <w:szCs w:val="24"/>
        </w:rPr>
        <w:t>լուծմանը</w:t>
      </w:r>
      <w:proofErr w:type="spellEnd"/>
      <w:r w:rsidRPr="00B93E7B">
        <w:rPr>
          <w:rFonts w:ascii="GHEA Grapalat" w:hAnsi="GHEA Grapalat" w:cs="Sylfaen"/>
          <w:sz w:val="24"/>
          <w:szCs w:val="24"/>
        </w:rPr>
        <w:t>:</w:t>
      </w:r>
    </w:p>
    <w:p w:rsidR="0079403A" w:rsidRPr="00B93E7B" w:rsidRDefault="002A2D0B" w:rsidP="00B93E7B">
      <w:pPr>
        <w:spacing w:line="360" w:lineRule="auto"/>
        <w:ind w:firstLine="720"/>
        <w:jc w:val="both"/>
        <w:rPr>
          <w:rFonts w:cs="Sylfaen"/>
          <w:b/>
          <w:color w:val="000000"/>
          <w:sz w:val="24"/>
          <w:szCs w:val="24"/>
        </w:rPr>
      </w:pPr>
      <w:proofErr w:type="spellStart"/>
      <w:proofErr w:type="gramStart"/>
      <w:r w:rsidRPr="00B93E7B">
        <w:rPr>
          <w:rFonts w:cs="Sylfaen"/>
          <w:b/>
          <w:color w:val="000000"/>
          <w:sz w:val="24"/>
          <w:szCs w:val="24"/>
        </w:rPr>
        <w:t>Հոդված</w:t>
      </w:r>
      <w:proofErr w:type="spellEnd"/>
      <w:r w:rsidRPr="00B93E7B">
        <w:rPr>
          <w:rFonts w:cs="Sylfaen"/>
          <w:b/>
          <w:color w:val="000000"/>
          <w:sz w:val="24"/>
          <w:szCs w:val="24"/>
        </w:rPr>
        <w:t xml:space="preserve"> 6.</w:t>
      </w:r>
      <w:proofErr w:type="gramEnd"/>
      <w:r w:rsidRPr="00B93E7B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color w:val="000000"/>
          <w:sz w:val="24"/>
          <w:szCs w:val="24"/>
        </w:rPr>
        <w:t>Պետական</w:t>
      </w:r>
      <w:proofErr w:type="spellEnd"/>
      <w:r w:rsidRPr="00B93E7B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color w:val="000000"/>
          <w:sz w:val="24"/>
          <w:szCs w:val="24"/>
        </w:rPr>
        <w:t>տուրքի</w:t>
      </w:r>
      <w:proofErr w:type="spellEnd"/>
      <w:r w:rsidRPr="00B93E7B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color w:val="000000"/>
          <w:sz w:val="24"/>
          <w:szCs w:val="24"/>
        </w:rPr>
        <w:t>գծով</w:t>
      </w:r>
      <w:proofErr w:type="spellEnd"/>
      <w:r w:rsidRPr="00B93E7B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color w:val="000000"/>
          <w:sz w:val="24"/>
          <w:szCs w:val="24"/>
        </w:rPr>
        <w:t>արտոնություններ</w:t>
      </w:r>
      <w:proofErr w:type="spellEnd"/>
      <w:r w:rsidRPr="00B93E7B">
        <w:rPr>
          <w:rFonts w:cs="Sylfaen"/>
          <w:b/>
          <w:color w:val="000000"/>
          <w:sz w:val="24"/>
          <w:szCs w:val="24"/>
        </w:rPr>
        <w:t xml:space="preserve"> </w:t>
      </w:r>
    </w:p>
    <w:p w:rsidR="0079403A" w:rsidRPr="00B93E7B" w:rsidRDefault="0079403A" w:rsidP="00B93E7B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օրենքից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>, «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օրենքից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բխող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վեճերի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առաջացման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դեպքում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մասնակիցները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«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տուրքի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օրենքով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սահմանված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կարգով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դատարաններում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ազատվում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տուրքի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վճարման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պարտականությունից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79403A" w:rsidRPr="00B93E7B" w:rsidRDefault="0000761D" w:rsidP="00B93E7B">
      <w:pPr>
        <w:spacing w:line="360" w:lineRule="auto"/>
        <w:ind w:firstLine="720"/>
        <w:jc w:val="both"/>
        <w:rPr>
          <w:rFonts w:cs="Sylfaen"/>
          <w:b/>
          <w:sz w:val="24"/>
          <w:szCs w:val="24"/>
        </w:rPr>
      </w:pPr>
      <w:proofErr w:type="spellStart"/>
      <w:proofErr w:type="gramStart"/>
      <w:r w:rsidRPr="00B93E7B">
        <w:rPr>
          <w:rFonts w:cs="Sylfaen"/>
          <w:b/>
          <w:sz w:val="24"/>
          <w:szCs w:val="24"/>
        </w:rPr>
        <w:t>Հոդված</w:t>
      </w:r>
      <w:proofErr w:type="spellEnd"/>
      <w:r w:rsidRPr="00B93E7B">
        <w:rPr>
          <w:rFonts w:cs="Sylfaen"/>
          <w:b/>
          <w:sz w:val="24"/>
          <w:szCs w:val="24"/>
        </w:rPr>
        <w:t xml:space="preserve"> </w:t>
      </w:r>
      <w:r w:rsidR="00C639A7" w:rsidRPr="00B93E7B">
        <w:rPr>
          <w:rFonts w:cs="Sylfaen"/>
          <w:b/>
          <w:sz w:val="24"/>
          <w:szCs w:val="24"/>
        </w:rPr>
        <w:t>7</w:t>
      </w:r>
      <w:r w:rsidRPr="00B93E7B">
        <w:rPr>
          <w:rFonts w:cs="Sylfaen"/>
          <w:b/>
          <w:sz w:val="24"/>
          <w:szCs w:val="24"/>
        </w:rPr>
        <w:t>.</w:t>
      </w:r>
      <w:proofErr w:type="gramEnd"/>
      <w:r w:rsidRPr="00B93E7B">
        <w:rPr>
          <w:rFonts w:cs="Sylfaen"/>
          <w:b/>
          <w:sz w:val="24"/>
          <w:szCs w:val="24"/>
        </w:rPr>
        <w:t xml:space="preserve"> </w:t>
      </w:r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Մասնակցի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իրավական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վիճակը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1409CE" w:rsidRPr="00B93E7B">
        <w:rPr>
          <w:rFonts w:cs="Sylfaen"/>
          <w:b/>
          <w:sz w:val="24"/>
          <w:szCs w:val="24"/>
        </w:rPr>
        <w:t>վատթարաց</w:t>
      </w:r>
      <w:r w:rsidR="00C16DD4" w:rsidRPr="00B93E7B">
        <w:rPr>
          <w:rFonts w:cs="Sylfaen"/>
          <w:b/>
          <w:sz w:val="24"/>
          <w:szCs w:val="24"/>
        </w:rPr>
        <w:t>նող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օրենքի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ուժի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մեջ</w:t>
      </w:r>
      <w:proofErr w:type="spellEnd"/>
      <w:r w:rsidR="00C16DD4"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="00C16DD4" w:rsidRPr="00B93E7B">
        <w:rPr>
          <w:rFonts w:cs="Sylfaen"/>
          <w:b/>
          <w:sz w:val="24"/>
          <w:szCs w:val="24"/>
        </w:rPr>
        <w:t>մտնելը</w:t>
      </w:r>
      <w:proofErr w:type="spellEnd"/>
    </w:p>
    <w:p w:rsidR="0079403A" w:rsidRPr="00B93E7B" w:rsidRDefault="0079403A" w:rsidP="00B93E7B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Մասնակիցների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իրավունքները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շահերը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սահմանափակող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նրանց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վիճակը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կերպ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վատթարացնող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դրույթներ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սահմանվել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բացառապես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օրենքներով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: </w:t>
      </w:r>
    </w:p>
    <w:p w:rsidR="0079403A" w:rsidRPr="00B93E7B" w:rsidRDefault="0079403A" w:rsidP="00B93E7B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B93E7B">
        <w:rPr>
          <w:rFonts w:ascii="GHEA Grapalat" w:hAnsi="GHEA Grapalat" w:cs="Sylfaen"/>
          <w:color w:val="000000"/>
          <w:sz w:val="24"/>
          <w:szCs w:val="24"/>
        </w:rPr>
        <w:t>«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Կուտակային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համեմատությամբ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վիճակը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վատթարացնող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նրա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lastRenderedPageBreak/>
        <w:t>համար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ավելի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խիստ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ռեժիմ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սահմանող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օրենքը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օրինական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ուժի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մտնել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պաշտոնական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հրապարակման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պահից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շուտ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քան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2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տարի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հետո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79403A" w:rsidRPr="00B93E7B" w:rsidRDefault="00464537" w:rsidP="00B93E7B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B93E7B">
        <w:rPr>
          <w:b/>
          <w:sz w:val="24"/>
          <w:szCs w:val="24"/>
        </w:rPr>
        <w:t>Հոդված</w:t>
      </w:r>
      <w:proofErr w:type="spellEnd"/>
      <w:r w:rsidRPr="00B93E7B">
        <w:rPr>
          <w:b/>
          <w:sz w:val="24"/>
          <w:szCs w:val="24"/>
        </w:rPr>
        <w:t xml:space="preserve"> </w:t>
      </w:r>
      <w:r w:rsidR="00C639A7" w:rsidRPr="00B93E7B">
        <w:rPr>
          <w:b/>
          <w:sz w:val="24"/>
          <w:szCs w:val="24"/>
        </w:rPr>
        <w:t>8</w:t>
      </w:r>
      <w:r w:rsidRPr="00B93E7B">
        <w:rPr>
          <w:b/>
          <w:sz w:val="24"/>
          <w:szCs w:val="24"/>
        </w:rPr>
        <w:t>.</w:t>
      </w:r>
      <w:proofErr w:type="gramEnd"/>
      <w:r w:rsidRPr="00B93E7B">
        <w:rPr>
          <w:b/>
          <w:sz w:val="24"/>
          <w:szCs w:val="24"/>
        </w:rPr>
        <w:t xml:space="preserve"> </w:t>
      </w:r>
      <w:proofErr w:type="spellStart"/>
      <w:r w:rsidRPr="00B93E7B">
        <w:rPr>
          <w:b/>
          <w:sz w:val="24"/>
          <w:szCs w:val="24"/>
        </w:rPr>
        <w:t>Երաշխիքներ</w:t>
      </w:r>
      <w:proofErr w:type="spellEnd"/>
      <w:r w:rsidRPr="00B93E7B">
        <w:rPr>
          <w:b/>
          <w:sz w:val="24"/>
          <w:szCs w:val="24"/>
        </w:rPr>
        <w:t xml:space="preserve"> </w:t>
      </w:r>
      <w:proofErr w:type="spellStart"/>
      <w:r w:rsidR="00526E33" w:rsidRPr="00B93E7B">
        <w:rPr>
          <w:b/>
          <w:sz w:val="24"/>
          <w:szCs w:val="24"/>
        </w:rPr>
        <w:t>կենսաթոշակային</w:t>
      </w:r>
      <w:proofErr w:type="spellEnd"/>
      <w:r w:rsidR="00526E33" w:rsidRPr="00B93E7B">
        <w:rPr>
          <w:b/>
          <w:sz w:val="24"/>
          <w:szCs w:val="24"/>
        </w:rPr>
        <w:t xml:space="preserve"> </w:t>
      </w:r>
      <w:proofErr w:type="spellStart"/>
      <w:r w:rsidR="00526E33" w:rsidRPr="00B93E7B">
        <w:rPr>
          <w:b/>
          <w:sz w:val="24"/>
          <w:szCs w:val="24"/>
        </w:rPr>
        <w:t>համակարգի</w:t>
      </w:r>
      <w:proofErr w:type="spellEnd"/>
      <w:r w:rsidR="00526E33" w:rsidRPr="00B93E7B">
        <w:rPr>
          <w:b/>
          <w:sz w:val="24"/>
          <w:szCs w:val="24"/>
        </w:rPr>
        <w:t xml:space="preserve"> </w:t>
      </w:r>
      <w:proofErr w:type="spellStart"/>
      <w:r w:rsidRPr="00B93E7B">
        <w:rPr>
          <w:b/>
          <w:sz w:val="24"/>
          <w:szCs w:val="24"/>
        </w:rPr>
        <w:t>կուտակային</w:t>
      </w:r>
      <w:proofErr w:type="spellEnd"/>
      <w:r w:rsidR="00526E33">
        <w:rPr>
          <w:b/>
          <w:sz w:val="24"/>
          <w:szCs w:val="24"/>
        </w:rPr>
        <w:t xml:space="preserve"> </w:t>
      </w:r>
      <w:proofErr w:type="spellStart"/>
      <w:r w:rsidR="00526E33" w:rsidRPr="00526E33">
        <w:rPr>
          <w:b/>
          <w:sz w:val="24"/>
          <w:szCs w:val="24"/>
        </w:rPr>
        <w:t>բաղադրիչի</w:t>
      </w:r>
      <w:proofErr w:type="spellEnd"/>
      <w:r w:rsidR="00526E33" w:rsidRPr="00B93E7B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b/>
          <w:sz w:val="24"/>
          <w:szCs w:val="24"/>
        </w:rPr>
        <w:t>դադարման</w:t>
      </w:r>
      <w:proofErr w:type="spellEnd"/>
      <w:r w:rsidRPr="00B93E7B">
        <w:rPr>
          <w:b/>
          <w:sz w:val="24"/>
          <w:szCs w:val="24"/>
        </w:rPr>
        <w:t xml:space="preserve"> </w:t>
      </w:r>
      <w:proofErr w:type="spellStart"/>
      <w:r w:rsidRPr="00B93E7B">
        <w:rPr>
          <w:b/>
          <w:sz w:val="24"/>
          <w:szCs w:val="24"/>
        </w:rPr>
        <w:t>դեպքում</w:t>
      </w:r>
      <w:proofErr w:type="spellEnd"/>
    </w:p>
    <w:p w:rsidR="0079403A" w:rsidRPr="00B93E7B" w:rsidRDefault="001C4EB8" w:rsidP="00B93E7B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կուտակային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բաղադրիչի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մասնակիցները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ազատվում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սոցիալական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վճարներ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կատարելու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դրա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հետ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կապված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ցանկացած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պարտավորությունից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եթե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Հանրապետությունում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դադարում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գործել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համակարգի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կուտակային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բաղադրիչը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անցում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կատարվում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ցանկացած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համակարգի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79403A" w:rsidRPr="00B93E7B" w:rsidRDefault="0079403A" w:rsidP="00B93E7B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Սույն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1-ին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մասով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նախատեսված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դեպքերում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պետք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միջոցներ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ձեռնարկի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325A8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proofErr w:type="spellStart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>ենսաթոշակային</w:t>
      </w:r>
      <w:proofErr w:type="spellEnd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>համակարգի</w:t>
      </w:r>
      <w:proofErr w:type="spellEnd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>կուտակային</w:t>
      </w:r>
      <w:proofErr w:type="spellEnd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>բաղադրիչի</w:t>
      </w:r>
      <w:proofErr w:type="spellEnd"/>
      <w:r w:rsidR="00526E33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մասնակցի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հաշվում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առկա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միջոցների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վերադարձելիության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ապահովման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: </w:t>
      </w:r>
      <w:proofErr w:type="spellStart"/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>Այս</w:t>
      </w:r>
      <w:proofErr w:type="spellEnd"/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>դեպքում</w:t>
      </w:r>
      <w:proofErr w:type="spellEnd"/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>մ</w:t>
      </w:r>
      <w:r w:rsidRPr="00B93E7B">
        <w:rPr>
          <w:rFonts w:ascii="GHEA Grapalat" w:hAnsi="GHEA Grapalat" w:cs="Sylfaen"/>
          <w:color w:val="000000"/>
          <w:sz w:val="24"/>
          <w:szCs w:val="24"/>
        </w:rPr>
        <w:t>ասնակիցը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կարող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B75A30" w:rsidRPr="00B93E7B">
        <w:rPr>
          <w:rFonts w:ascii="GHEA Grapalat" w:hAnsi="GHEA Grapalat" w:cs="Sylfaen"/>
          <w:color w:val="000000"/>
          <w:sz w:val="24"/>
          <w:szCs w:val="24"/>
        </w:rPr>
        <w:t>է</w:t>
      </w:r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տնօրինել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հաշվում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առկա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փայերը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այդ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թվում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իրականացնել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հաշվում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առկա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փայերի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մարում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79403A" w:rsidRPr="00B93E7B" w:rsidRDefault="001409CE" w:rsidP="00B93E7B">
      <w:pPr>
        <w:spacing w:line="360" w:lineRule="auto"/>
        <w:ind w:firstLine="720"/>
        <w:jc w:val="both"/>
        <w:rPr>
          <w:rFonts w:eastAsia="Times New Roman" w:cs="Sylfaen"/>
          <w:b/>
          <w:bCs/>
          <w:sz w:val="24"/>
          <w:szCs w:val="24"/>
        </w:rPr>
      </w:pPr>
      <w:proofErr w:type="spellStart"/>
      <w:proofErr w:type="gramStart"/>
      <w:r w:rsidRPr="00B93E7B">
        <w:rPr>
          <w:rFonts w:eastAsia="Times New Roman" w:cs="Sylfaen"/>
          <w:b/>
          <w:bCs/>
          <w:sz w:val="24"/>
          <w:szCs w:val="24"/>
        </w:rPr>
        <w:t>Հոդված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r w:rsidR="00C639A7" w:rsidRPr="00B93E7B">
        <w:rPr>
          <w:rFonts w:eastAsia="Times New Roman" w:cs="Sylfaen"/>
          <w:b/>
          <w:bCs/>
          <w:sz w:val="24"/>
          <w:szCs w:val="24"/>
        </w:rPr>
        <w:t>9</w:t>
      </w:r>
      <w:r w:rsidRPr="00B93E7B">
        <w:rPr>
          <w:rFonts w:eastAsia="Times New Roman" w:cs="Sylfaen"/>
          <w:b/>
          <w:bCs/>
          <w:sz w:val="24"/>
          <w:szCs w:val="24"/>
        </w:rPr>
        <w:t>.</w:t>
      </w:r>
      <w:proofErr w:type="gram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Կենսաթոշակային</w:t>
      </w:r>
      <w:proofErr w:type="spellEnd"/>
      <w:r w:rsidRPr="00B93E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ֆոնդի</w:t>
      </w:r>
      <w:proofErr w:type="spellEnd"/>
      <w:r w:rsidRPr="00B93E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կառավարչի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,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պահառուի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,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հաշվի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օպերատորի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,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մասնակիցների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ռեեստրը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վարողի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ֆիդուցիար</w:t>
      </w:r>
      <w:proofErr w:type="spellEnd"/>
      <w:r w:rsidRPr="00B93E7B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B93E7B">
        <w:rPr>
          <w:rFonts w:eastAsia="Times New Roman" w:cs="Sylfaen"/>
          <w:b/>
          <w:bCs/>
          <w:sz w:val="24"/>
          <w:szCs w:val="24"/>
        </w:rPr>
        <w:t>պարտականությունը</w:t>
      </w:r>
      <w:proofErr w:type="spellEnd"/>
    </w:p>
    <w:p w:rsidR="0079403A" w:rsidRPr="00B93E7B" w:rsidRDefault="00B75A30" w:rsidP="00B93E7B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Պարտադ</w:t>
      </w:r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իր</w:t>
      </w:r>
      <w:proofErr w:type="spellEnd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79403A" w:rsidRPr="00B93E7B">
        <w:rPr>
          <w:rFonts w:ascii="GHEA Grapalat" w:hAnsi="GHEA Grapalat" w:cs="Sylfaen"/>
          <w:color w:val="000000"/>
          <w:sz w:val="24"/>
          <w:szCs w:val="24"/>
        </w:rPr>
        <w:t>կենսաթոշակային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ֆոնդի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կառավարիչը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, պահառուն, հաշվի օպերատորը, մասնակիցների ռեեստրը վարողն և վերջիններիս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աշխատակիցներն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իրենց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պարտականությունների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կատարման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ընթացքում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պարտավոր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են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գործել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՝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ելնելով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մասնակիցների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շահերից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,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իրենց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իրավունքներն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իրականացնել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և</w:t>
      </w:r>
      <w:r w:rsidR="001325A8">
        <w:rPr>
          <w:rFonts w:ascii="GHEA Grapalat" w:eastAsia="Times New Roman" w:hAnsi="GHEA Grapalat" w:cs="Sylfaen"/>
          <w:color w:val="000000"/>
          <w:sz w:val="24"/>
          <w:szCs w:val="20"/>
          <w:lang w:val="hy-AM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ֆոնդի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մասնակիցների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նկատմամբ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իրենց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պարտականությունները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կատարել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բարեխիղճ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ու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ողջամիտ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կերպով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,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պատշաճ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մասնագիտական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մակարդակով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(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ֆիդուցիար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 </w:t>
      </w:r>
      <w:proofErr w:type="spellStart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>պարտականություն</w:t>
      </w:r>
      <w:proofErr w:type="spellEnd"/>
      <w:r w:rsidR="0079403A" w:rsidRPr="00B93E7B">
        <w:rPr>
          <w:rFonts w:ascii="GHEA Grapalat" w:eastAsia="Times New Roman" w:hAnsi="GHEA Grapalat" w:cs="Sylfaen"/>
          <w:color w:val="000000"/>
          <w:sz w:val="24"/>
          <w:szCs w:val="20"/>
        </w:rPr>
        <w:t xml:space="preserve">): </w:t>
      </w:r>
    </w:p>
    <w:p w:rsidR="0079403A" w:rsidRPr="00B93E7B" w:rsidRDefault="0079403A" w:rsidP="00B93E7B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lastRenderedPageBreak/>
        <w:t>Սույն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1-ին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մասում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նշված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անձանց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իրենց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կատարման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ընթացքում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իրենց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ֆիդուցիար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պարտականությունների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խախտման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դեպքերը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բնույթը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որակելու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կարգը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սահմանվում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է 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կենտրոնական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բանկի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B93E7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B93E7B">
        <w:rPr>
          <w:rFonts w:ascii="GHEA Grapalat" w:hAnsi="GHEA Grapalat" w:cs="Sylfaen"/>
          <w:color w:val="000000"/>
          <w:sz w:val="24"/>
          <w:szCs w:val="24"/>
        </w:rPr>
        <w:t>ակտերով</w:t>
      </w:r>
      <w:proofErr w:type="spellEnd"/>
      <w:r w:rsidR="001409CE" w:rsidRPr="00B93E7B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p w:rsidR="0079403A" w:rsidRPr="00B93E7B" w:rsidRDefault="009D015B" w:rsidP="00B93E7B">
      <w:pPr>
        <w:spacing w:line="360" w:lineRule="auto"/>
        <w:ind w:firstLine="720"/>
        <w:jc w:val="both"/>
        <w:rPr>
          <w:rFonts w:cs="Sylfaen"/>
          <w:b/>
          <w:sz w:val="24"/>
          <w:szCs w:val="24"/>
        </w:rPr>
      </w:pPr>
      <w:proofErr w:type="spellStart"/>
      <w:proofErr w:type="gramStart"/>
      <w:r w:rsidRPr="00B93E7B">
        <w:rPr>
          <w:rFonts w:cs="Sylfaen"/>
          <w:b/>
          <w:sz w:val="24"/>
          <w:szCs w:val="24"/>
        </w:rPr>
        <w:t>Հոդված</w:t>
      </w:r>
      <w:proofErr w:type="spellEnd"/>
      <w:r w:rsidRPr="00B93E7B">
        <w:rPr>
          <w:rFonts w:cs="Sylfaen"/>
          <w:b/>
          <w:sz w:val="24"/>
          <w:szCs w:val="24"/>
        </w:rPr>
        <w:t xml:space="preserve"> </w:t>
      </w:r>
      <w:r w:rsidR="00C639A7" w:rsidRPr="00B93E7B">
        <w:rPr>
          <w:rFonts w:cs="Sylfaen"/>
          <w:b/>
          <w:sz w:val="24"/>
          <w:szCs w:val="24"/>
        </w:rPr>
        <w:t>10</w:t>
      </w:r>
      <w:r w:rsidRPr="00B93E7B">
        <w:rPr>
          <w:rFonts w:cs="Sylfaen"/>
          <w:b/>
          <w:sz w:val="24"/>
          <w:szCs w:val="24"/>
        </w:rPr>
        <w:t>.</w:t>
      </w:r>
      <w:proofErr w:type="gramEnd"/>
      <w:r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sz w:val="24"/>
          <w:szCs w:val="24"/>
        </w:rPr>
        <w:t>Եզրափակիչ</w:t>
      </w:r>
      <w:proofErr w:type="spellEnd"/>
      <w:r w:rsidRPr="00B93E7B">
        <w:rPr>
          <w:rFonts w:cs="Sylfaen"/>
          <w:b/>
          <w:sz w:val="24"/>
          <w:szCs w:val="24"/>
        </w:rPr>
        <w:t xml:space="preserve"> </w:t>
      </w:r>
      <w:proofErr w:type="spellStart"/>
      <w:r w:rsidRPr="00B93E7B">
        <w:rPr>
          <w:rFonts w:cs="Sylfaen"/>
          <w:b/>
          <w:sz w:val="24"/>
          <w:szCs w:val="24"/>
        </w:rPr>
        <w:t>դրույթներ</w:t>
      </w:r>
      <w:proofErr w:type="spellEnd"/>
    </w:p>
    <w:p w:rsidR="0053741F" w:rsidRPr="00B93E7B" w:rsidRDefault="009D015B" w:rsidP="00B93E7B">
      <w:pPr>
        <w:spacing w:line="360" w:lineRule="auto"/>
        <w:ind w:firstLine="720"/>
        <w:jc w:val="both"/>
        <w:rPr>
          <w:rFonts w:cs="Sylfaen"/>
          <w:sz w:val="24"/>
          <w:szCs w:val="24"/>
        </w:rPr>
      </w:pPr>
      <w:proofErr w:type="spellStart"/>
      <w:r w:rsidRPr="00B93E7B">
        <w:rPr>
          <w:rFonts w:cs="Sylfaen"/>
          <w:sz w:val="24"/>
          <w:szCs w:val="24"/>
        </w:rPr>
        <w:t>Սույն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օրենքը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ուժի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մեջ</w:t>
      </w:r>
      <w:proofErr w:type="spellEnd"/>
      <w:r w:rsidRPr="00B93E7B">
        <w:rPr>
          <w:rFonts w:cs="Sylfaen"/>
          <w:sz w:val="24"/>
          <w:szCs w:val="24"/>
        </w:rPr>
        <w:t xml:space="preserve"> է </w:t>
      </w:r>
      <w:proofErr w:type="spellStart"/>
      <w:r w:rsidRPr="00B93E7B">
        <w:rPr>
          <w:rFonts w:cs="Sylfaen"/>
          <w:sz w:val="24"/>
          <w:szCs w:val="24"/>
        </w:rPr>
        <w:t>մտնում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պաշտոնական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հրապարակման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օրվան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հաջորդող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տասներորդ</w:t>
      </w:r>
      <w:proofErr w:type="spellEnd"/>
      <w:r w:rsidRPr="00B93E7B">
        <w:rPr>
          <w:rFonts w:cs="Sylfaen"/>
          <w:sz w:val="24"/>
          <w:szCs w:val="24"/>
        </w:rPr>
        <w:t xml:space="preserve"> </w:t>
      </w:r>
      <w:proofErr w:type="spellStart"/>
      <w:r w:rsidRPr="00B93E7B">
        <w:rPr>
          <w:rFonts w:cs="Sylfaen"/>
          <w:sz w:val="24"/>
          <w:szCs w:val="24"/>
        </w:rPr>
        <w:t>օրը</w:t>
      </w:r>
      <w:proofErr w:type="spellEnd"/>
      <w:r w:rsidRPr="00B93E7B">
        <w:rPr>
          <w:rFonts w:cs="Sylfaen"/>
          <w:sz w:val="24"/>
          <w:szCs w:val="24"/>
        </w:rPr>
        <w:t>:</w:t>
      </w:r>
    </w:p>
    <w:sectPr w:rsidR="0053741F" w:rsidRPr="00B93E7B" w:rsidSect="00F2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1F" w:rsidRDefault="0053741F" w:rsidP="003A024C">
      <w:pPr>
        <w:spacing w:after="0" w:line="240" w:lineRule="auto"/>
      </w:pPr>
      <w:r>
        <w:separator/>
      </w:r>
    </w:p>
  </w:endnote>
  <w:endnote w:type="continuationSeparator" w:id="0">
    <w:p w:rsidR="0053741F" w:rsidRDefault="0053741F" w:rsidP="003A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1F" w:rsidRDefault="0053741F" w:rsidP="003A024C">
      <w:pPr>
        <w:spacing w:after="0" w:line="240" w:lineRule="auto"/>
      </w:pPr>
      <w:r>
        <w:separator/>
      </w:r>
    </w:p>
  </w:footnote>
  <w:footnote w:type="continuationSeparator" w:id="0">
    <w:p w:rsidR="0053741F" w:rsidRDefault="0053741F" w:rsidP="003A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5DEF"/>
    <w:multiLevelType w:val="hybridMultilevel"/>
    <w:tmpl w:val="1E8E74C4"/>
    <w:lvl w:ilvl="0" w:tplc="F1388D6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B18C9"/>
    <w:multiLevelType w:val="hybridMultilevel"/>
    <w:tmpl w:val="1E8E74C4"/>
    <w:lvl w:ilvl="0" w:tplc="F1388D6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51C21"/>
    <w:multiLevelType w:val="hybridMultilevel"/>
    <w:tmpl w:val="1E8E74C4"/>
    <w:lvl w:ilvl="0" w:tplc="F1388D6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059D5"/>
    <w:multiLevelType w:val="hybridMultilevel"/>
    <w:tmpl w:val="1E8E74C4"/>
    <w:lvl w:ilvl="0" w:tplc="F1388D6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5473DF"/>
    <w:multiLevelType w:val="hybridMultilevel"/>
    <w:tmpl w:val="0A38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42BC1"/>
    <w:multiLevelType w:val="hybridMultilevel"/>
    <w:tmpl w:val="CA42C4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332AA"/>
    <w:multiLevelType w:val="hybridMultilevel"/>
    <w:tmpl w:val="A6129180"/>
    <w:lvl w:ilvl="0" w:tplc="5E648CF8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8176F1"/>
    <w:multiLevelType w:val="hybridMultilevel"/>
    <w:tmpl w:val="B248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35E9D"/>
    <w:multiLevelType w:val="hybridMultilevel"/>
    <w:tmpl w:val="A6129180"/>
    <w:lvl w:ilvl="0" w:tplc="5E648CF8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134987"/>
    <w:multiLevelType w:val="hybridMultilevel"/>
    <w:tmpl w:val="97787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27D57"/>
    <w:multiLevelType w:val="hybridMultilevel"/>
    <w:tmpl w:val="AFC48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02CA5"/>
    <w:multiLevelType w:val="hybridMultilevel"/>
    <w:tmpl w:val="CA42C4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7147AC"/>
    <w:multiLevelType w:val="hybridMultilevel"/>
    <w:tmpl w:val="CA42C4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331"/>
    <w:rsid w:val="00003207"/>
    <w:rsid w:val="0000761D"/>
    <w:rsid w:val="0003066A"/>
    <w:rsid w:val="00066D1D"/>
    <w:rsid w:val="00084810"/>
    <w:rsid w:val="000A12C8"/>
    <w:rsid w:val="000E5933"/>
    <w:rsid w:val="00116284"/>
    <w:rsid w:val="001325A8"/>
    <w:rsid w:val="001409CE"/>
    <w:rsid w:val="001C4EB8"/>
    <w:rsid w:val="002A2D0B"/>
    <w:rsid w:val="002D7284"/>
    <w:rsid w:val="00310B83"/>
    <w:rsid w:val="003119F8"/>
    <w:rsid w:val="003A024C"/>
    <w:rsid w:val="00464537"/>
    <w:rsid w:val="004B6422"/>
    <w:rsid w:val="00526E33"/>
    <w:rsid w:val="0053741F"/>
    <w:rsid w:val="00574676"/>
    <w:rsid w:val="0058332C"/>
    <w:rsid w:val="00600988"/>
    <w:rsid w:val="00622CE5"/>
    <w:rsid w:val="0064411A"/>
    <w:rsid w:val="006B5E85"/>
    <w:rsid w:val="006E03F4"/>
    <w:rsid w:val="006F1331"/>
    <w:rsid w:val="00704DE6"/>
    <w:rsid w:val="00763F47"/>
    <w:rsid w:val="007874D4"/>
    <w:rsid w:val="007919F5"/>
    <w:rsid w:val="0079403A"/>
    <w:rsid w:val="007C03A6"/>
    <w:rsid w:val="007F7F40"/>
    <w:rsid w:val="009410DA"/>
    <w:rsid w:val="0095195F"/>
    <w:rsid w:val="009D015B"/>
    <w:rsid w:val="009F5A5C"/>
    <w:rsid w:val="00AA2522"/>
    <w:rsid w:val="00AC09E3"/>
    <w:rsid w:val="00B75A30"/>
    <w:rsid w:val="00B93E7B"/>
    <w:rsid w:val="00BD5D0B"/>
    <w:rsid w:val="00C16445"/>
    <w:rsid w:val="00C16DD4"/>
    <w:rsid w:val="00C639A7"/>
    <w:rsid w:val="00C74902"/>
    <w:rsid w:val="00CC7554"/>
    <w:rsid w:val="00D16B0C"/>
    <w:rsid w:val="00D21805"/>
    <w:rsid w:val="00E35145"/>
    <w:rsid w:val="00E6173E"/>
    <w:rsid w:val="00EC5312"/>
    <w:rsid w:val="00F202D6"/>
    <w:rsid w:val="00F2303F"/>
    <w:rsid w:val="00F2491E"/>
    <w:rsid w:val="00F37838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1D"/>
    <w:pPr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4C"/>
  </w:style>
  <w:style w:type="paragraph" w:styleId="Footer">
    <w:name w:val="footer"/>
    <w:basedOn w:val="Normal"/>
    <w:link w:val="FooterChar"/>
    <w:uiPriority w:val="99"/>
    <w:unhideWhenUsed/>
    <w:rsid w:val="003A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4C"/>
  </w:style>
  <w:style w:type="character" w:customStyle="1" w:styleId="apple-converted-space">
    <w:name w:val="apple-converted-space"/>
    <w:basedOn w:val="DefaultParagraphFont"/>
    <w:rsid w:val="00644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1D"/>
    <w:pPr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4C"/>
  </w:style>
  <w:style w:type="paragraph" w:styleId="Footer">
    <w:name w:val="footer"/>
    <w:basedOn w:val="Normal"/>
    <w:link w:val="FooterChar"/>
    <w:uiPriority w:val="99"/>
    <w:unhideWhenUsed/>
    <w:rsid w:val="003A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4C"/>
  </w:style>
  <w:style w:type="character" w:customStyle="1" w:styleId="apple-converted-space">
    <w:name w:val="apple-converted-space"/>
    <w:basedOn w:val="DefaultParagraphFont"/>
    <w:rsid w:val="0064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Aghayan</dc:creator>
  <cp:lastModifiedBy>Artem Asatryan</cp:lastModifiedBy>
  <cp:revision>8</cp:revision>
  <cp:lastPrinted>2014-03-05T11:36:00Z</cp:lastPrinted>
  <dcterms:created xsi:type="dcterms:W3CDTF">2014-06-16T07:16:00Z</dcterms:created>
  <dcterms:modified xsi:type="dcterms:W3CDTF">2014-06-17T06:21:00Z</dcterms:modified>
</cp:coreProperties>
</file>