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Ամփոփաթերթ</w:t>
      </w:r>
    </w:p>
    <w:p w:rsidR="008F6EE4" w:rsidRP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F6EE4">
        <w:rPr>
          <w:rFonts w:ascii="GHEA Grapalat" w:hAnsi="GHEA Grapalat"/>
          <w:b/>
          <w:sz w:val="24"/>
          <w:szCs w:val="24"/>
          <w:lang w:val="en-US"/>
        </w:rPr>
        <w:t>«Արմեն Գալստյանին Մարդու իրավունքների եվրոպական դատարան գործուղելու մասին» ՀՀ Կառավարության որոշման նախագծի վերաբերյալ ստացված առաջարկությունների</w:t>
      </w:r>
    </w:p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3402"/>
        <w:gridCol w:w="5670"/>
        <w:gridCol w:w="5039"/>
      </w:tblGrid>
      <w:tr w:rsidR="008F6EE4" w:rsidTr="00053B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 հեղինակ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Առաջարկության բովանդակությունը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Եզրակացություն</w:t>
            </w:r>
          </w:p>
        </w:tc>
      </w:tr>
      <w:tr w:rsidR="008F6EE4" w:rsidRPr="00D668BD" w:rsidTr="00053B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3227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Գլխավոր դատախազություն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F2A" w:rsidRPr="00991B6B" w:rsidRDefault="00C5627A" w:rsidP="00991B6B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B6B">
              <w:rPr>
                <w:rFonts w:ascii="GHEA Grapalat" w:hAnsi="GHEA Grapalat"/>
                <w:sz w:val="24"/>
                <w:szCs w:val="24"/>
                <w:lang w:val="hy-AM"/>
              </w:rPr>
              <w:t>«գործուղման հետ կապված» բառից հետո լրացնել «այդ թվում` բնակարանի վարձակալության (վարձակալության պայմանագիրը կնքելիս մեկ կամ երկու ամսվա կանխավճարի և միջնորդ կազմակերպության միջնորդավճարի միանվագ վճարում), ապահովագրության և տրանսպորտային» բառերը:</w:t>
            </w: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E00CE2" w:rsidRDefault="00E00CE2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97C" w:rsidRDefault="007D197C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97C" w:rsidRDefault="007D197C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97C" w:rsidRDefault="007D197C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7D197C" w:rsidRDefault="007D197C" w:rsidP="00C5627A">
            <w:p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7508B" w:rsidRPr="007D197C" w:rsidRDefault="0087508B" w:rsidP="007D197C">
            <w:pPr>
              <w:pStyle w:val="ListParagraph"/>
              <w:numPr>
                <w:ilvl w:val="0"/>
                <w:numId w:val="14"/>
              </w:numPr>
              <w:tabs>
                <w:tab w:val="left" w:pos="1134"/>
              </w:tabs>
              <w:spacing w:after="12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D197C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7D197C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 կետում հստակ ձևակերպված չէ ծախսերի հատուցման չափերը, մասնավորապես տրված ձևակերպումից բխում է, որ ՀՀ կառավարության նշված որոշումներում սահմանված չափերը պետք է հաշվի առնվեն, մինչդեռ գտնում ենք, որ ծախսերը պետք նշված չափերով փոխհատուցվեն: Ուստի անհրաժեշտ է Նախագծի 2-րդ կետի «հիմք ընդունելով» բառերը հանել, «7-րդ կետը» բառե</w:t>
            </w:r>
            <w:r w:rsidR="00991B6B" w:rsidRPr="007D197C">
              <w:rPr>
                <w:rFonts w:ascii="GHEA Grapalat" w:hAnsi="GHEA Grapalat"/>
                <w:sz w:val="24"/>
                <w:szCs w:val="24"/>
                <w:lang w:val="en-US"/>
              </w:rPr>
              <w:t>ր</w:t>
            </w:r>
            <w:r w:rsidRPr="007D197C">
              <w:rPr>
                <w:rFonts w:ascii="GHEA Grapalat" w:hAnsi="GHEA Grapalat"/>
                <w:sz w:val="24"/>
                <w:szCs w:val="24"/>
                <w:lang w:val="hy-AM"/>
              </w:rPr>
              <w:t>ը փոխարինել «7-րդ կետով սահմանված ծախսերի» բառերով, իսկ «չափերը» բառը փոխարինել «չափով» բառով: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D759D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lastRenderedPageBreak/>
              <w:t>Չի ընդունվել</w:t>
            </w:r>
          </w:p>
          <w:p w:rsidR="00D759DB" w:rsidRDefault="00D759D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</w:pPr>
          </w:p>
          <w:p w:rsidR="00D759DB" w:rsidRDefault="00D759D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759DB"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Ինչ վերաբերում է </w:t>
            </w:r>
            <w:r w:rsidRPr="00D759DB">
              <w:rPr>
                <w:rFonts w:ascii="GHEA Grapalat" w:hAnsi="GHEA Grapalat"/>
                <w:sz w:val="24"/>
                <w:szCs w:val="24"/>
                <w:lang w:val="hy-AM"/>
              </w:rPr>
              <w:t>բնակարանի</w:t>
            </w:r>
            <w:r w:rsidRPr="00C5627A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վարձակալության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C5627A">
              <w:rPr>
                <w:rFonts w:ascii="GHEA Grapalat" w:hAnsi="GHEA Grapalat"/>
                <w:sz w:val="24"/>
                <w:szCs w:val="24"/>
                <w:lang w:val="hy-AM"/>
              </w:rPr>
              <w:t xml:space="preserve"> (վարձակալության պայմանագիրը կնքելիս մեկ կամ երկու ամսվա կանխավճարի և միջնորդ կազմակերպության միջնորդավճարի միանվագ վճար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մանը, ապա ԱԳՆ-ն ՀՀ կառավարության աշխատակազմ ուղարկված մի քանի գրություններում /ս.թ. օգոստոսի 1-ի թիվ 1111/56768, օգոստոսի 26-ի թիվ 1111/57390/ տեղեկացրել է, որ ԱԳՆ տրամադրության տակ գտնվող, Դ. Մելքոնյանի գործուղման համար նախատեսված ֆինանսական </w:t>
            </w:r>
            <w:r w:rsidR="00C2506A">
              <w:rPr>
                <w:rFonts w:ascii="GHEA Grapalat" w:hAnsi="GHEA Grapalat"/>
                <w:sz w:val="24"/>
                <w:szCs w:val="24"/>
                <w:lang w:val="en-US"/>
              </w:rPr>
              <w:t>միջոցների մնացորդը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/10.600 եվրոյին համարժեք ՀՀ դրամ/ տրամադրվելու են այս նպատակով: Մեր կարծիքով կառավարության որոշման նախագծում այս մասին առանձին կետով նշելու անհրաժեշտություն չկա:</w:t>
            </w:r>
          </w:p>
          <w:p w:rsidR="00D759DB" w:rsidRDefault="00D759D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8A137E" w:rsidRDefault="008A137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A5D66" w:rsidRDefault="00C2506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Քանի որ 2015թ. համար ապահովագրություն նախատեսված չի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եղել, ապա ապահովագրության ծախսերը Ա. Գալստյանը կարող է հոգալ 2014թ. բյուջեով հատկացված միջոցներից:</w:t>
            </w:r>
          </w:p>
          <w:p w:rsidR="00C2506A" w:rsidRDefault="00C2506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FA5D66" w:rsidRPr="00D759DB" w:rsidRDefault="00FA5D6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Տրանսպորտային ծախսեր ընդհանրապես նախատեսված չեն: Եթե խոսքը վերաբերում է ճանապարհածախսին, ապա ՀՀ կառավարության և ՄԻԵԴ  քարտուղարության միջև կնքվելիք փոխըմբռնման հուշագրում հստակ նշված է, որ գործուղվող անձի ու նրա ընտանիքի անդամների ճանապարհածախսը հոգում է Եվրոպայի Խորհուրդը:</w:t>
            </w:r>
          </w:p>
          <w:p w:rsidR="007D197C" w:rsidRDefault="007D197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Pr="00991B6B" w:rsidRDefault="00E00CE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</w:pPr>
            <w:r w:rsidRPr="00991B6B"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>Չի ընդունվել</w:t>
            </w:r>
          </w:p>
          <w:p w:rsidR="00991B6B" w:rsidRDefault="00991B6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Default="00991B6B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Հաշվի առնելով այն հանգամանքը, որ գործուղվող անձը չի հանդիսանում դիվանագետ` կառավարության որոշման նախագծում համապատախան որոշումներին հղումները արվել են որպես ուղենիշ` գործուղումը ձևակերպելու համար</w:t>
            </w:r>
          </w:p>
          <w:p w:rsidR="00622F4E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22F4E" w:rsidRPr="00B80EDD" w:rsidRDefault="00622F4E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8F6EE4" w:rsidRPr="00D668BD" w:rsidTr="00053B9A">
        <w:trPr>
          <w:trHeight w:val="8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3227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="002741B6">
              <w:rPr>
                <w:rFonts w:ascii="GHEA Grapalat" w:hAnsi="GHEA Grapalat"/>
                <w:sz w:val="24"/>
                <w:szCs w:val="24"/>
                <w:lang w:val="en-US"/>
              </w:rPr>
              <w:t>Ֆ</w:t>
            </w:r>
            <w:r w:rsidR="00322755"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ինանսների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A96630" w:rsidRDefault="008E6738" w:rsidP="00A966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</w:t>
            </w:r>
            <w:r w:rsidRPr="00A96630">
              <w:rPr>
                <w:rFonts w:ascii="GHEA Grapalat" w:hAnsi="GHEA Grapalat"/>
                <w:sz w:val="24"/>
                <w:szCs w:val="24"/>
                <w:lang w:val="af-ZA"/>
              </w:rPr>
              <w:t xml:space="preserve"> 2–րդ կետում «2-րդ սյունակում» բառերը փոխարինել «N 1 աղյուսակի 6-րդ սյունակում» բառերով (Ստրասբուրգը ներառված է ՀՀ կառավարության 2014 թվականի հուլիսի 3-ի N 738-Ն որոշման N 3 հավելվածի N 1 աղյուսակի 6-րդ սյունակում)</w:t>
            </w:r>
          </w:p>
          <w:p w:rsidR="00A96630" w:rsidRDefault="00A96630" w:rsidP="00DE1397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54B28" w:rsidRDefault="00654B28" w:rsidP="00DE1397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Pr="00A96630" w:rsidRDefault="00A96630" w:rsidP="00A966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31A52">
              <w:rPr>
                <w:rFonts w:ascii="GHEA Grapalat" w:hAnsi="GHEA Grapalat" w:cs="Sylfaen"/>
                <w:sz w:val="24"/>
                <w:szCs w:val="24"/>
              </w:rPr>
              <w:t>վերոնշված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2015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կառաջանա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շուրջ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2.5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մլն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դրամի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լրացուցիչ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հատկացման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անհրաժեշտություն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ժողովի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քննարկմանը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2015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A9663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31A52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6EE4" w:rsidRPr="00F26F8A" w:rsidRDefault="008E6738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  <w:r w:rsidRPr="00F26F8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>Ընդունվել է</w:t>
            </w: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54B28" w:rsidRDefault="00654B28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96630" w:rsidRDefault="00A96630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  <w:r w:rsidRPr="00F26F8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ընդունվել է </w:t>
            </w:r>
          </w:p>
          <w:p w:rsidR="00654B28" w:rsidRDefault="00654B28" w:rsidP="00B67F5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</w:p>
          <w:p w:rsidR="008A137E" w:rsidRPr="008A137E" w:rsidRDefault="008A137E" w:rsidP="0065183A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A137E">
              <w:rPr>
                <w:rFonts w:ascii="GHEA Grapalat" w:hAnsi="GHEA Grapalat"/>
                <w:sz w:val="24"/>
                <w:szCs w:val="24"/>
                <w:lang w:val="af-ZA"/>
              </w:rPr>
              <w:t xml:space="preserve">Ֆինանսների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նախարարության </w:t>
            </w:r>
            <w:r w:rsidR="0065183A">
              <w:rPr>
                <w:rFonts w:ascii="GHEA Grapalat" w:hAnsi="GHEA Grapalat"/>
                <w:sz w:val="24"/>
                <w:szCs w:val="24"/>
                <w:lang w:val="af-ZA"/>
              </w:rPr>
              <w:t xml:space="preserve">հետ համատեղ կատարվել է վերահաշվարկ, որի արդյունքում ընդհանուր գումարը կազմում է 43637 եվրո, որից փոխհատուցում 2318 x 11 ամիս = 25498 եվրո, բնակվարձ` 770486 դրամ : 513.97 x 10% x </w:t>
            </w:r>
            <w:r w:rsidR="00D668BD">
              <w:rPr>
                <w:rFonts w:ascii="GHEA Grapalat" w:hAnsi="GHEA Grapalat"/>
                <w:sz w:val="24"/>
                <w:szCs w:val="24"/>
                <w:lang w:val="af-ZA"/>
              </w:rPr>
              <w:t xml:space="preserve">11 </w:t>
            </w:r>
            <w:r w:rsidR="0065183A">
              <w:rPr>
                <w:rFonts w:ascii="GHEA Grapalat" w:hAnsi="GHEA Grapalat"/>
                <w:sz w:val="24"/>
                <w:szCs w:val="24"/>
                <w:lang w:val="af-ZA"/>
              </w:rPr>
              <w:t xml:space="preserve">ամիս = 18139 եվրո (22428.1 հազար դրամ):  </w:t>
            </w:r>
          </w:p>
        </w:tc>
      </w:tr>
      <w:tr w:rsidR="008F6EE4" w:rsidRPr="00C2506A" w:rsidTr="00053B9A">
        <w:trPr>
          <w:trHeight w:val="8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32275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Default="008F6EE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721E23" w:rsidRDefault="00721E23" w:rsidP="00D925FE">
            <w:pPr>
              <w:tabs>
                <w:tab w:val="left" w:pos="990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C102E2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ծի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2-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րդ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կետում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հղում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2005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դեկտեմբերի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29-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C102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2335-Ն որոշման N 1 հավելվածի 7-րդ կետին, մինչդեռ հիշյալ հղումից պարզ չէ, թե որ դեպքերի և գործուղվող անձի որ ծախսերի հատուցման համար է վկայակոչված նշված կետը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6EE4" w:rsidRPr="00FC3CBA" w:rsidRDefault="008F6EE4" w:rsidP="009B47F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</w:pPr>
            <w:r w:rsidRPr="00FC3CBA"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>Ընդունվել</w:t>
            </w:r>
            <w:r w:rsidRPr="00FC3CB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  <w:r w:rsidRPr="00FC3CBA">
              <w:rPr>
                <w:rFonts w:ascii="GHEA Grapalat" w:hAnsi="GHEA Grapalat"/>
                <w:sz w:val="24"/>
                <w:szCs w:val="24"/>
                <w:u w:val="single"/>
                <w:lang w:val="en-US"/>
              </w:rPr>
              <w:t>է</w:t>
            </w:r>
            <w:r w:rsidR="00C102E2" w:rsidRPr="00FC3CBA">
              <w:rPr>
                <w:rFonts w:ascii="GHEA Grapalat" w:hAnsi="GHEA Grapalat"/>
                <w:sz w:val="24"/>
                <w:szCs w:val="24"/>
                <w:u w:val="single"/>
                <w:lang w:val="af-ZA"/>
              </w:rPr>
              <w:t xml:space="preserve"> </w:t>
            </w:r>
          </w:p>
          <w:p w:rsidR="009B47FC" w:rsidRPr="00C102E2" w:rsidRDefault="009B47FC" w:rsidP="009B47F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02E2" w:rsidRPr="00C102E2" w:rsidRDefault="00C102E2" w:rsidP="00C102E2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102E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9B47FC" w:rsidRPr="00C102E2" w:rsidRDefault="009B47FC" w:rsidP="009B47FC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8F6EE4" w:rsidRDefault="008F6EE4" w:rsidP="008F6E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AC71CF" w:rsidRPr="00C102E2" w:rsidRDefault="00AC71CF">
      <w:pPr>
        <w:rPr>
          <w:lang w:val="af-ZA"/>
        </w:rPr>
      </w:pPr>
    </w:p>
    <w:sectPr w:rsidR="00AC71CF" w:rsidRPr="00C102E2" w:rsidSect="008F6EE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F45"/>
    <w:multiLevelType w:val="hybridMultilevel"/>
    <w:tmpl w:val="635A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338D"/>
    <w:multiLevelType w:val="hybridMultilevel"/>
    <w:tmpl w:val="89AC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C675F"/>
    <w:multiLevelType w:val="hybridMultilevel"/>
    <w:tmpl w:val="7C36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540AC"/>
    <w:multiLevelType w:val="hybridMultilevel"/>
    <w:tmpl w:val="35BE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D2510"/>
    <w:multiLevelType w:val="hybridMultilevel"/>
    <w:tmpl w:val="F6D02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45BC2"/>
    <w:multiLevelType w:val="hybridMultilevel"/>
    <w:tmpl w:val="FB2A2D8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D6A0B"/>
    <w:multiLevelType w:val="hybridMultilevel"/>
    <w:tmpl w:val="BB62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27443"/>
    <w:multiLevelType w:val="hybridMultilevel"/>
    <w:tmpl w:val="289C54E8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8">
    <w:nsid w:val="4A1667DC"/>
    <w:multiLevelType w:val="hybridMultilevel"/>
    <w:tmpl w:val="150C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AE6445"/>
    <w:multiLevelType w:val="hybridMultilevel"/>
    <w:tmpl w:val="34F2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7492C"/>
    <w:multiLevelType w:val="hybridMultilevel"/>
    <w:tmpl w:val="D588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12F7A"/>
    <w:multiLevelType w:val="hybridMultilevel"/>
    <w:tmpl w:val="4EB62104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93D3A"/>
    <w:multiLevelType w:val="hybridMultilevel"/>
    <w:tmpl w:val="35FA09BE"/>
    <w:lvl w:ilvl="0" w:tplc="0F4C4BB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470C3"/>
    <w:multiLevelType w:val="hybridMultilevel"/>
    <w:tmpl w:val="EB4C4E44"/>
    <w:lvl w:ilvl="0" w:tplc="D22204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12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8F6EE4"/>
    <w:rsid w:val="00053B9A"/>
    <w:rsid w:val="00070B2C"/>
    <w:rsid w:val="00093BC2"/>
    <w:rsid w:val="000E06AD"/>
    <w:rsid w:val="000E3913"/>
    <w:rsid w:val="001051BA"/>
    <w:rsid w:val="001472E2"/>
    <w:rsid w:val="002331D4"/>
    <w:rsid w:val="002741B6"/>
    <w:rsid w:val="002D6DDD"/>
    <w:rsid w:val="003016F3"/>
    <w:rsid w:val="00322755"/>
    <w:rsid w:val="0032319B"/>
    <w:rsid w:val="00323D35"/>
    <w:rsid w:val="003722DF"/>
    <w:rsid w:val="00380F86"/>
    <w:rsid w:val="004543AD"/>
    <w:rsid w:val="00481DC5"/>
    <w:rsid w:val="00542563"/>
    <w:rsid w:val="00565405"/>
    <w:rsid w:val="005D5130"/>
    <w:rsid w:val="005D6051"/>
    <w:rsid w:val="00622F2A"/>
    <w:rsid w:val="00622F4E"/>
    <w:rsid w:val="0065183A"/>
    <w:rsid w:val="00654B28"/>
    <w:rsid w:val="006C2ECF"/>
    <w:rsid w:val="00701B00"/>
    <w:rsid w:val="0071534D"/>
    <w:rsid w:val="00721E23"/>
    <w:rsid w:val="00760AC8"/>
    <w:rsid w:val="00777490"/>
    <w:rsid w:val="007A1348"/>
    <w:rsid w:val="007D197C"/>
    <w:rsid w:val="0080773B"/>
    <w:rsid w:val="008205AC"/>
    <w:rsid w:val="0086063C"/>
    <w:rsid w:val="00861A19"/>
    <w:rsid w:val="0087508B"/>
    <w:rsid w:val="008A137E"/>
    <w:rsid w:val="008E6738"/>
    <w:rsid w:val="008F6EE4"/>
    <w:rsid w:val="00951FD7"/>
    <w:rsid w:val="00991B6B"/>
    <w:rsid w:val="009B21F8"/>
    <w:rsid w:val="009B47FC"/>
    <w:rsid w:val="009E6F22"/>
    <w:rsid w:val="00A26CF7"/>
    <w:rsid w:val="00A96630"/>
    <w:rsid w:val="00AB51FF"/>
    <w:rsid w:val="00AC71CF"/>
    <w:rsid w:val="00B67F52"/>
    <w:rsid w:val="00B701E1"/>
    <w:rsid w:val="00B80EDD"/>
    <w:rsid w:val="00C102E2"/>
    <w:rsid w:val="00C2506A"/>
    <w:rsid w:val="00C5627A"/>
    <w:rsid w:val="00C75184"/>
    <w:rsid w:val="00C958A2"/>
    <w:rsid w:val="00D44D84"/>
    <w:rsid w:val="00D668BD"/>
    <w:rsid w:val="00D759DB"/>
    <w:rsid w:val="00D925FE"/>
    <w:rsid w:val="00DC0A9F"/>
    <w:rsid w:val="00DE1397"/>
    <w:rsid w:val="00E00CE2"/>
    <w:rsid w:val="00E14EE4"/>
    <w:rsid w:val="00EA770C"/>
    <w:rsid w:val="00EC46A5"/>
    <w:rsid w:val="00ED4DC2"/>
    <w:rsid w:val="00ED5F35"/>
    <w:rsid w:val="00F26F8A"/>
    <w:rsid w:val="00F5563A"/>
    <w:rsid w:val="00F74F85"/>
    <w:rsid w:val="00FA5D66"/>
    <w:rsid w:val="00FC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E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pacing w:val="-5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snapToGrid w:val="0"/>
      <w:spacing w:val="-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uiPriority w:val="34"/>
    <w:qFormat/>
    <w:rsid w:val="00F556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8F6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AnjelikaKh</cp:lastModifiedBy>
  <cp:revision>2</cp:revision>
  <cp:lastPrinted>2014-11-10T11:51:00Z</cp:lastPrinted>
  <dcterms:created xsi:type="dcterms:W3CDTF">2014-11-19T07:08:00Z</dcterms:created>
  <dcterms:modified xsi:type="dcterms:W3CDTF">2014-11-19T07:08:00Z</dcterms:modified>
</cp:coreProperties>
</file>