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0D" w:rsidRPr="004B051E" w:rsidRDefault="006E3A0D" w:rsidP="004332C6">
      <w:pPr>
        <w:pStyle w:val="BodyText"/>
        <w:spacing w:after="0"/>
        <w:jc w:val="center"/>
        <w:rPr>
          <w:rFonts w:ascii="GHEA Grapalat" w:hAnsi="GHEA Grapalat"/>
          <w:b/>
          <w:caps/>
          <w:szCs w:val="20"/>
          <w:lang w:val="af-ZA"/>
        </w:rPr>
      </w:pPr>
      <w:r w:rsidRPr="004B051E">
        <w:rPr>
          <w:rFonts w:ascii="GHEA Grapalat" w:hAnsi="GHEA Grapalat" w:cs="Sylfaen"/>
          <w:b/>
          <w:caps/>
          <w:szCs w:val="20"/>
        </w:rPr>
        <w:t>Ա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Մ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Փ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Ո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Փ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Ա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Թ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Ե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Ր</w:t>
      </w:r>
      <w:r w:rsidRPr="004B051E">
        <w:rPr>
          <w:rFonts w:ascii="GHEA Grapalat" w:hAnsi="GHEA Grapalat"/>
          <w:b/>
          <w:caps/>
          <w:szCs w:val="20"/>
          <w:lang w:val="af-ZA"/>
        </w:rPr>
        <w:t xml:space="preserve"> </w:t>
      </w:r>
      <w:r w:rsidRPr="004B051E">
        <w:rPr>
          <w:rFonts w:ascii="GHEA Grapalat" w:hAnsi="GHEA Grapalat" w:cs="Sylfaen"/>
          <w:b/>
          <w:caps/>
          <w:szCs w:val="20"/>
        </w:rPr>
        <w:t>Թ</w:t>
      </w:r>
    </w:p>
    <w:p w:rsidR="00A33444" w:rsidRPr="004B051E" w:rsidRDefault="00A33444" w:rsidP="00A33444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B051E">
        <w:rPr>
          <w:rFonts w:ascii="GHEA Grapalat" w:hAnsi="GHEA Grapalat"/>
          <w:b/>
          <w:sz w:val="20"/>
          <w:szCs w:val="20"/>
          <w:lang w:val="af-ZA"/>
        </w:rPr>
        <w:t>«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ԴԱՏԱԿԱՆ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ՕՐԵՆՍԳՐՔՈՒՄ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ԵՎ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ԼՐԱՑՈՒՄՆԵՐ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</w:t>
      </w:r>
    </w:p>
    <w:p w:rsidR="006E3A0D" w:rsidRPr="004B051E" w:rsidRDefault="00A33444" w:rsidP="00A33444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Fonts w:ascii="GHEA Grapalat" w:hAnsi="GHEA Grapalat"/>
          <w:b/>
          <w:bCs/>
          <w:caps/>
          <w:sz w:val="20"/>
          <w:szCs w:val="20"/>
          <w:lang w:val="af-ZA"/>
        </w:rPr>
      </w:pP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«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ՔՐԵԱԿԱՆ ԴԱՏԱՎԱՐՈՒԹՅԱՆ ՕՐԵՆՍԳՐՔՈՒՄ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 «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ՔԱՂԱՔԱՑԻԱԿԱՆ ԴԱՏԱՎԱՐՈՒԹՅԱՆ ՕՐԵՆՍԳՐՔՈՒՄ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 «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ՎԱՐՉԱԿԱՆ ԴԱՏԱՎԱՐՈՒԹՅԱՆ ՕՐԵՆՍԳՐՔՈՒՄ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 «ՀԱՅԱՍՏԱՆԻ ՀԱՆՐԱՊԵՏՈՒԹՅԱՆ ՔՐԵԱԿԱՆ ՕՐԵՆՍԳՐՔՈՒՄ ԼՐԱՑՈՒՄ ԿԱՏԱՐԵԼՈՒ ՄԱՍԻՆ», «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ԴԱՏԱԿԱՆ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ԾԱՌԱՅՈՒԹՅԱՆ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»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ՕՐԵՆՔՈՒՄ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ՓՈՓՈԽՈՒԹՅՈՒՆՆԵՐ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 «</w:t>
      </w:r>
      <w:r w:rsidRPr="004B051E">
        <w:rPr>
          <w:rFonts w:ascii="GHEA Grapalat" w:hAnsi="GHEA Grapalat" w:cs="Arian AMU"/>
          <w:b/>
          <w:sz w:val="20"/>
          <w:szCs w:val="20"/>
          <w:lang w:val="af-ZA"/>
        </w:rPr>
        <w:t>ԱՐԴԱՐԱԴԱՏՈՒԹՅԱՆ ԱԿԱԴԵՄԻԱՅԻ ՄԱՍԻՆ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»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ՕՐԵՆՔՈՒՄ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>», «</w:t>
      </w:r>
      <w:r w:rsidRPr="004B051E">
        <w:rPr>
          <w:rFonts w:ascii="GHEA Grapalat" w:hAnsi="GHEA Grapalat" w:cs="Arian AMU"/>
          <w:b/>
          <w:sz w:val="20"/>
          <w:szCs w:val="20"/>
          <w:lang w:val="af-ZA"/>
        </w:rPr>
        <w:t>ՄԱՐԴՈՒ ԻՐԱՎՈՒՆՔՆԵՐԻ ՊԱՇՏՊԱՆԻ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»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ՕՐԵՆՔՈՒՄ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ՓՈՓՈԽՈՒԹՅՈՒՆ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Arian AMU"/>
          <w:b/>
          <w:sz w:val="20"/>
          <w:szCs w:val="20"/>
          <w:lang w:val="fr-FR"/>
        </w:rPr>
        <w:t>ՄԱՍԻՆ</w:t>
      </w:r>
      <w:r w:rsidRPr="004B051E">
        <w:rPr>
          <w:rFonts w:ascii="GHEA Grapalat" w:hAnsi="GHEA Grapalat"/>
          <w:b/>
          <w:sz w:val="20"/>
          <w:szCs w:val="20"/>
          <w:lang w:val="af-ZA"/>
        </w:rPr>
        <w:t xml:space="preserve">»,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>«</w:t>
      </w:r>
      <w:r w:rsidRPr="004B051E">
        <w:rPr>
          <w:rFonts w:ascii="GHEA Grapalat" w:hAnsi="GHEA Grapalat" w:cs="GHEA Grapalat"/>
          <w:b/>
          <w:bCs/>
          <w:sz w:val="20"/>
          <w:szCs w:val="20"/>
        </w:rPr>
        <w:t>ԻՐԱՎԱԿԱՆ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</w:rPr>
        <w:t>ԱԿՏԵՐԻ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</w:rPr>
        <w:t>ՄԱՍԻՆ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»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>ՀԱՅԱՍՏԱՆԻ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>ՀԱՆՐԱՊԵՏՈՒԹՅԱՆ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>ՕՐԵՆՔՈՒՄ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>ՓՈՓՈԽՈՒԹՅՈՒՆՆԵՐ ԵՎ ԼՐԱՑՈՒՄՆԵՐ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>ԿԱՏԱՐԵԼՈՒ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4B051E">
        <w:rPr>
          <w:rFonts w:ascii="GHEA Grapalat" w:hAnsi="GHEA Grapalat" w:cs="GHEA Grapalat"/>
          <w:b/>
          <w:bCs/>
          <w:sz w:val="20"/>
          <w:szCs w:val="20"/>
          <w:lang w:val="fr-FR"/>
        </w:rPr>
        <w:t xml:space="preserve">ՄԱՍԻՆ» </w:t>
      </w:r>
      <w:r w:rsidR="000D7EBA" w:rsidRPr="004B051E">
        <w:rPr>
          <w:rFonts w:ascii="GHEA Grapalat" w:hAnsi="GHEA Grapalat" w:cs="Sylfaen"/>
          <w:b/>
          <w:sz w:val="20"/>
          <w:szCs w:val="20"/>
        </w:rPr>
        <w:t>ՀԱՅԱՍՏԱՆԻ</w:t>
      </w:r>
      <w:r w:rsidR="000D7EBA" w:rsidRPr="004B051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D7EBA" w:rsidRPr="004B051E">
        <w:rPr>
          <w:rFonts w:ascii="GHEA Grapalat" w:hAnsi="GHEA Grapalat" w:cs="Sylfaen"/>
          <w:b/>
          <w:sz w:val="20"/>
          <w:szCs w:val="20"/>
        </w:rPr>
        <w:t>ՀԱՆՐԱՊԵՏՈՒԹՅԱՆ</w:t>
      </w:r>
      <w:r w:rsidR="000D7EBA" w:rsidRPr="004B051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D7EBA" w:rsidRPr="004B051E">
        <w:rPr>
          <w:rFonts w:ascii="GHEA Grapalat" w:hAnsi="GHEA Grapalat" w:cs="Sylfaen"/>
          <w:b/>
          <w:sz w:val="20"/>
          <w:szCs w:val="20"/>
        </w:rPr>
        <w:t>ՕՐԵՆՔՆԵՐԻ</w:t>
      </w:r>
      <w:r w:rsidR="00BD4186" w:rsidRPr="004B051E">
        <w:rPr>
          <w:rFonts w:ascii="GHEA Grapalat" w:hAnsi="GHEA Grapalat" w:cs="Sylfaen"/>
          <w:b/>
          <w:caps/>
          <w:sz w:val="20"/>
          <w:szCs w:val="20"/>
          <w:lang w:val="fr-FR"/>
        </w:rPr>
        <w:t xml:space="preserve"> նախագծերի</w:t>
      </w:r>
      <w:r w:rsidR="006E3A0D" w:rsidRPr="004B051E">
        <w:rPr>
          <w:rFonts w:ascii="GHEA Grapalat" w:hAnsi="GHEA Grapalat"/>
          <w:b/>
          <w:bCs/>
          <w:caps/>
          <w:sz w:val="20"/>
          <w:szCs w:val="20"/>
          <w:lang w:val="af-ZA"/>
        </w:rPr>
        <w:t xml:space="preserve"> </w:t>
      </w:r>
      <w:r w:rsidR="006E3A0D" w:rsidRPr="004B051E">
        <w:rPr>
          <w:rFonts w:ascii="GHEA Grapalat" w:hAnsi="GHEA Grapalat" w:cs="Sylfaen"/>
          <w:b/>
          <w:bCs/>
          <w:caps/>
          <w:sz w:val="20"/>
          <w:szCs w:val="20"/>
        </w:rPr>
        <w:t>վերաբերյալ</w:t>
      </w:r>
      <w:r w:rsidR="006E3A0D" w:rsidRPr="004B051E">
        <w:rPr>
          <w:rFonts w:ascii="GHEA Grapalat" w:hAnsi="GHEA Grapalat"/>
          <w:b/>
          <w:bCs/>
          <w:caps/>
          <w:sz w:val="20"/>
          <w:szCs w:val="20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4B051E" w:rsidTr="004332C6">
        <w:trPr>
          <w:trHeight w:val="983"/>
        </w:trPr>
        <w:tc>
          <w:tcPr>
            <w:tcW w:w="2448" w:type="dxa"/>
          </w:tcPr>
          <w:p w:rsidR="006E3A0D" w:rsidRPr="004B051E" w:rsidRDefault="006E3A0D" w:rsidP="0037359F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6E3A0D" w:rsidRPr="004B051E" w:rsidRDefault="006E3A0D" w:rsidP="0037359F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հեղինակը</w:t>
            </w:r>
          </w:p>
          <w:p w:rsidR="006E3A0D" w:rsidRPr="004B051E" w:rsidRDefault="006E3A0D" w:rsidP="0037359F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</w:tcPr>
          <w:p w:rsidR="006E3A0D" w:rsidRPr="004B051E" w:rsidRDefault="006E3A0D" w:rsidP="0037359F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6E3A0D" w:rsidRPr="004B051E" w:rsidRDefault="006E3A0D" w:rsidP="0037359F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4B051E" w:rsidRDefault="006E3A0D" w:rsidP="0037359F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4B051E" w:rsidRDefault="006E3A0D" w:rsidP="0037359F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Կատարված փոփոխություններ</w:t>
            </w:r>
          </w:p>
        </w:tc>
      </w:tr>
      <w:tr w:rsidR="006E3A0D" w:rsidRPr="004B051E" w:rsidTr="00D32CC2">
        <w:tc>
          <w:tcPr>
            <w:tcW w:w="2448" w:type="dxa"/>
          </w:tcPr>
          <w:p w:rsidR="006E3A0D" w:rsidRPr="004B051E" w:rsidRDefault="006E3A0D" w:rsidP="0037359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4B051E" w:rsidRDefault="006E3A0D" w:rsidP="0037359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4B051E" w:rsidRDefault="006E3A0D" w:rsidP="0037359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4B051E" w:rsidRDefault="006E3A0D" w:rsidP="0037359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051E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</w:tr>
      <w:tr w:rsidR="003309E4" w:rsidRPr="004B051E" w:rsidTr="00BD4186">
        <w:trPr>
          <w:trHeight w:val="1333"/>
        </w:trPr>
        <w:tc>
          <w:tcPr>
            <w:tcW w:w="2448" w:type="dxa"/>
          </w:tcPr>
          <w:p w:rsidR="003309E4" w:rsidRPr="004B051E" w:rsidRDefault="003309E4" w:rsidP="00BD4186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4B05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ՀՀ </w:t>
            </w:r>
            <w:r w:rsidR="000D7EBA" w:rsidRPr="004B05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վճռաբեկ դատարան</w:t>
            </w:r>
          </w:p>
          <w:p w:rsidR="00BD4186" w:rsidRPr="004B051E" w:rsidRDefault="00BD4186" w:rsidP="00BD4186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54923" w:rsidRPr="004B051E" w:rsidRDefault="00564674" w:rsidP="00A5492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36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21.1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մասում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տոկոսային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միջակայքը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գերազանցող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տոկոսաչափեր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բառերն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տոկոսաչափից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տարբերվող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տոկոսաչափեր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տարընկալումներից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խուսափելու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նպատակով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A54923" w:rsidRPr="004B051E" w:rsidRDefault="00A54923" w:rsidP="00A5492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2.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21.1-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6-8-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մասերն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հանել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նկատի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ունենալով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դա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հակասում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գործերը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հավասարաչափ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բաշխելու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սկզբունքին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դրա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լույսի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ներքո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կատարել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մասում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64674" w:rsidRPr="004B051E" w:rsidRDefault="00564674" w:rsidP="005646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21.1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14-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որոշվում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սույն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կարգով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որոշվում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դատարանի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նախագահի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564674" w:rsidRPr="004B051E" w:rsidRDefault="00564674" w:rsidP="005646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A54923" w:rsidP="00A5492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4.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25-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կետն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ամբողջությամբ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ուժը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կորցրած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ճանաչելը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ճիշտ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չէ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բացի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քրեական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քաղաքացիական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գործերից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դատավորների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վարույթում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գտնվող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մյուս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գործերը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ևս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բաշխման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կարիք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en-US"/>
              </w:rPr>
              <w:t>ունեն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0D7EBA" w:rsidRPr="004B051E" w:rsidRDefault="000D7EBA" w:rsidP="000D7EBA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317826" w:rsidRPr="004B051E" w:rsidRDefault="00317826" w:rsidP="00BC6503">
            <w:pPr>
              <w:ind w:right="15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2160" w:type="dxa"/>
          </w:tcPr>
          <w:p w:rsidR="00BC650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1.Չի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ը</w:t>
            </w:r>
            <w:r w:rsidR="00317826" w:rsidRPr="004B051E">
              <w:rPr>
                <w:rFonts w:ascii="GHEA Grapalat" w:hAnsi="GHEA Grapalat"/>
                <w:sz w:val="22"/>
                <w:szCs w:val="22"/>
                <w:lang w:val="af-ZA"/>
              </w:rPr>
              <w:t>նդունվել</w:t>
            </w: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564674" w:rsidP="00564674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A54923" w:rsidP="00A54923">
            <w:pPr>
              <w:pStyle w:val="ListParagraph"/>
              <w:numPr>
                <w:ilvl w:val="0"/>
                <w:numId w:val="8"/>
              </w:numPr>
              <w:ind w:left="0" w:firstLine="36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t>Ը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>նդունվել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է</w:t>
            </w: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A54923" w:rsidP="00A54923">
            <w:pPr>
              <w:pStyle w:val="ListParagraph"/>
              <w:ind w:left="52" w:right="-93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3.Չի ընդունվել</w:t>
            </w:r>
          </w:p>
          <w:p w:rsidR="00A5492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4.Չի ընդունվել</w:t>
            </w: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D77C2" w:rsidRPr="004B051E" w:rsidRDefault="00DD77C2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7473A" w:rsidRPr="004B051E" w:rsidRDefault="0047473A" w:rsidP="0047473A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63" w:type="dxa"/>
          </w:tcPr>
          <w:p w:rsidR="00534712" w:rsidRPr="004B051E" w:rsidRDefault="004A6F77" w:rsidP="00534712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 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>1. Անհրաժեշտ է նկատի ունենալ, որ նախագծով նախատեսված կարգավորումը առավել հստակ է, քանի որ խոսքը գնում է միայն 25 տոկոսը գերազանցող տոկոսաչափի մասին, մինչդեռ առաջարկությունն ընդունելու դեպքում կառաջանա տարընկալում, քանի որ «տարբերվող տոկոսաչափ»</w:t>
            </w:r>
            <w:r w:rsidR="00A54923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 նախատեսելու</w:t>
            </w:r>
            <w:r w:rsidR="00564674"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դեպքում խոսքը կգնա նաև 25 տոկոսից ցածր տոկոսաչափ սահմանելու մասին:</w:t>
            </w:r>
          </w:p>
          <w:p w:rsidR="0047473A" w:rsidRPr="004B051E" w:rsidRDefault="0047473A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64674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2.Նախագծում կատարվել են համապատասխան փոփոխություններ:</w:t>
            </w: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481224">
            <w:pPr>
              <w:spacing w:before="100" w:beforeAutospacing="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54923" w:rsidRPr="004B051E" w:rsidRDefault="00A54923" w:rsidP="00A54923">
            <w:pPr>
              <w:spacing w:before="100" w:beforeAutospacing="1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3.Չի ընդունվել, քանի որ գործերի բաշխումը պետք է իրականացվի պատահական ընտրությամբ:</w:t>
            </w:r>
          </w:p>
          <w:p w:rsidR="00A54923" w:rsidRPr="004B051E" w:rsidRDefault="00A54923" w:rsidP="00A54923">
            <w:pPr>
              <w:spacing w:before="100" w:beforeAutospacing="1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Նախագծով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t>հստակ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t>կարգավորվել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sz w:val="22"/>
                <w:szCs w:val="22"/>
                <w:lang w:val="af-ZA"/>
              </w:rPr>
              <w:t>են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դատավորի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արձակուրդի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ժամանակավոր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բացակայության</w:t>
            </w:r>
            <w:r w:rsidRPr="004B05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դեպքում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գործերի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բաշխման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կարգը</w:t>
            </w:r>
            <w:r w:rsidRPr="004B051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</w:tc>
      </w:tr>
      <w:tr w:rsidR="00832FD1" w:rsidRPr="004B051E" w:rsidTr="00BD4186">
        <w:trPr>
          <w:trHeight w:val="1333"/>
        </w:trPr>
        <w:tc>
          <w:tcPr>
            <w:tcW w:w="2448" w:type="dxa"/>
          </w:tcPr>
          <w:p w:rsidR="00832FD1" w:rsidRPr="004B051E" w:rsidRDefault="00832FD1" w:rsidP="00BD4186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4B051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ՀՀ Նախագահի աշխատակազմ</w:t>
            </w:r>
          </w:p>
        </w:tc>
        <w:tc>
          <w:tcPr>
            <w:tcW w:w="5580" w:type="dxa"/>
          </w:tcPr>
          <w:p w:rsidR="00832FD1" w:rsidRPr="004B051E" w:rsidRDefault="001527C0" w:rsidP="00832FD1">
            <w:pPr>
              <w:autoSpaceDE/>
              <w:autoSpaceDN/>
              <w:adjustRightInd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Սկզբունքային դիտողություններ և ա</w:t>
            </w:r>
            <w:r w:rsidR="00832FD1" w:rsidRPr="004B051E">
              <w:rPr>
                <w:rFonts w:ascii="GHEA Grapalat" w:hAnsi="GHEA Grapalat"/>
                <w:sz w:val="22"/>
                <w:szCs w:val="22"/>
                <w:lang w:val="af-ZA"/>
              </w:rPr>
              <w:t>ռաջարկություններ չկան:</w:t>
            </w:r>
          </w:p>
        </w:tc>
        <w:tc>
          <w:tcPr>
            <w:tcW w:w="2160" w:type="dxa"/>
          </w:tcPr>
          <w:p w:rsidR="00832FD1" w:rsidRPr="004B051E" w:rsidRDefault="00832FD1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63" w:type="dxa"/>
          </w:tcPr>
          <w:p w:rsidR="00832FD1" w:rsidRPr="004B051E" w:rsidRDefault="00832FD1" w:rsidP="0017793A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6E3A0D" w:rsidRPr="004B051E" w:rsidRDefault="006E3A0D" w:rsidP="00862533">
      <w:pPr>
        <w:spacing w:line="360" w:lineRule="auto"/>
        <w:rPr>
          <w:rFonts w:ascii="GHEA Grapalat" w:hAnsi="GHEA Grapalat"/>
          <w:sz w:val="20"/>
          <w:szCs w:val="20"/>
          <w:lang w:val="af-ZA"/>
        </w:rPr>
      </w:pPr>
    </w:p>
    <w:tbl>
      <w:tblPr>
        <w:tblpPr w:leftFromText="180" w:rightFromText="180" w:vertAnchor="text" w:horzAnchor="margin" w:tblpXSpec="center" w:tblpY="234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4"/>
        <w:gridCol w:w="5670"/>
        <w:gridCol w:w="2103"/>
        <w:gridCol w:w="5220"/>
      </w:tblGrid>
      <w:tr w:rsidR="003060B8" w:rsidRPr="004B051E" w:rsidTr="003060B8">
        <w:tc>
          <w:tcPr>
            <w:tcW w:w="2444" w:type="dxa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ՀՀ վճռաբեկ դատարան</w:t>
            </w: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Նախագծի 3-րդ հոդվածով նախատեսված «Հոդված 72.1»-ի 4-րդ մասն անհրաժեշտ է հանել, քանի որ պարզ չէ թե ինչ նպատակ է հետապնդում դրանով նախատեսված մարմինների ներկայացուցիչների մասնակցությունը դատավորների խորհրդի նիստերին, այն դեպքում երբ նույն հոդվածի 5-րդ մասը նախատեսում է վերոնշյալ նիստերի ողջ ընթացքի տեսաձայնագրության և ուղիղ հեռարձակում նիստերի դահլիճից դուրս` հանրության համար մատչելի տարածքում:</w:t>
            </w:r>
          </w:p>
        </w:tc>
        <w:tc>
          <w:tcPr>
            <w:tcW w:w="2103" w:type="dxa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Չի ընդունվել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ՀՀ Նախագահի աշխատակազմի, Արդարադատության նախարարության և Փաստաբանների պալատի ներկայացուցիչների  Դատավորների խորհրդի նիստերին   ելույթ ունենալու իրավունքով  մասնակցությունը  որևէ առնչություն չունի և չի կարող նույնականացվել Դատավորների խորհրդի նիստերի   տեսաձայնագրություն և հանրության համար մատչելի տարածքում  ուղիղ հեռարձակման հետ:</w:t>
            </w:r>
          </w:p>
          <w:p w:rsidR="003060B8" w:rsidRPr="004B051E" w:rsidRDefault="003060B8" w:rsidP="0048355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BD4186" w:rsidRPr="004B051E" w:rsidRDefault="00BD4186" w:rsidP="00862533">
      <w:pPr>
        <w:spacing w:line="360" w:lineRule="auto"/>
        <w:rPr>
          <w:rFonts w:ascii="GHEA Grapalat" w:hAnsi="GHEA Grapalat"/>
          <w:sz w:val="20"/>
          <w:szCs w:val="20"/>
          <w:lang w:val="af-ZA"/>
        </w:rPr>
      </w:pPr>
    </w:p>
    <w:tbl>
      <w:tblPr>
        <w:tblpPr w:leftFromText="180" w:rightFromText="180" w:vertAnchor="text" w:horzAnchor="margin" w:tblpXSpec="center" w:tblpY="234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5670"/>
        <w:gridCol w:w="2103"/>
        <w:gridCol w:w="5220"/>
      </w:tblGrid>
      <w:tr w:rsidR="003060B8" w:rsidRPr="004B051E" w:rsidTr="00483558">
        <w:tc>
          <w:tcPr>
            <w:tcW w:w="266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3060B8" w:rsidRPr="004B051E" w:rsidTr="00483558">
        <w:tc>
          <w:tcPr>
            <w:tcW w:w="266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ՀՀ ազգային վիճակագրական ծառայության</w:t>
            </w: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Առաջարկություններ չկան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3060B8" w:rsidRPr="004B051E" w:rsidTr="00483558">
        <w:tc>
          <w:tcPr>
            <w:tcW w:w="2660" w:type="dxa"/>
            <w:vMerge w:val="restart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ՀՀ վճռաբեկ դատարան</w:t>
            </w: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1.Նախագծի 1-ին հոդվածով նախատեսված «Հոդված 21.1»-ի 2-րդ մասում պարզ չէ, թե դրանով նախատեսված ինչ «վիճակագրության վարման մեթոդոլոգիայի կայունության» մասին է խոսքը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Պարզաբանում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Նախագծում սահմանված է, որ «2.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ab/>
              <w:t>Հայաստանի Հանրապետության դատական դեպարտամենտը (այսուհետ` Դատական դեպարտամենտ) ապահովում է վիճակագրության հետևողական հավաքումն ու  վարումը</w:t>
            </w:r>
            <w:r w:rsidRPr="004B051E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>, վիճակագրության վարման մեթոդոլոգիայի կայունությունը:»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Վիճակագրությունը պետք է վարվի կայուն մեթոդոլոգիայով, հակառակ դեպքում հնարավոր չի լինի ապահովել տարիների կտրվածքով այդ վիճակագրոթւան համադրելիությունը և համեմատելիությունը:</w:t>
            </w:r>
          </w:p>
        </w:tc>
      </w:tr>
      <w:tr w:rsidR="003060B8" w:rsidRPr="004B051E" w:rsidTr="00483558">
        <w:tc>
          <w:tcPr>
            <w:tcW w:w="2660" w:type="dxa"/>
            <w:vMerge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2.Նախագծի 1-ին հոդվածով նախատեսված «Հոդված 21.1»-ի 4-րդ մասով նախատեսված դրույթը, կարծում ենք, խախտում է դատական իշխանության ինքնավարության սկզբունքը: Դատական իշխանությունն ինքնավար է, և իր ինքնավարությունն իրականացվում է դատական իշխանության ինքնակառավարման մարմինների միջոցով: Կարծում ենք, որ Կառավարությունը կարող է առաջարկել դատական իշխանության ինքնակառավաման մարմիններին, որպեսզի նրանք դատական գործերի վարման լրացուցիչ դասակարգիչներ սահմանեն:</w:t>
            </w:r>
          </w:p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 Բացի այդ, ուշադրության է արժանի նաև այն հանգամանքը, որ պետական և տեղական ինքնակառավարման մարմիների համագործակցու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թյան, ինչպես նաև դատական իշխանության գործունեության թափանցիկության սկզբունքից ելնելով, ըստ անհրաժեշտության, ՀՀ դատական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դեպարտամենտը մինչ օրս տրամադրել և տրամադրում է հավաքագրված` օրենքով թույլատրելի վիճակագրական տվյալները: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Չի ընդունվել: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Դատական վիճակագրական տեղեկատվությունը և դրա հավաքագրման պահանջ նախատեսելը որևէ կերպ չի կարող մեկնաբանվել որպես դատական իշխանության անկախության խախտում: Դատական իշխանությունը, իրեն վերապահված գործառույթների ուժով, գործ ունի հասարակական կյանքի ամենատարբեր ոլորտներին առնչվող տեղեկատվության հետ: Նման տեղեկատվության հավաքագրման մենաշնորհը պատկանում է դատական իշխանությանը, սակայն այդ տեղեկատվությունը քաղաքականոթւյան մշակման համար անհրաժեշտ, իսկ առանձին դեպքերում միակ աղբյուրն է: ՀՀ կառավարությունը, որպես պետական քաղաքականությունը մշակող մարմին, պետք է հնարավորույթուն ունենա, պետության ներքին քաղաքականության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բնագավառում իր գործառույթների արդյունավետ իրականացման կարիքներից ելնելով, սահմանել դատական վիճակագրության վարման լրացուցիչ  վիճակագրական դասակարգիչներ, որոնք պարտադիր են դատական դեպարտամենտի համար: Հակառակ դեպքում Կառավարությունը զրկվում է որոշումների կայացման համար հիմք հանդիսացող և ազդակներ հաղորդող կարևոր տեղեկատվության աղբյուրից: </w:t>
            </w:r>
          </w:p>
        </w:tc>
      </w:tr>
      <w:tr w:rsidR="003060B8" w:rsidRPr="004B051E" w:rsidTr="00483558">
        <w:tc>
          <w:tcPr>
            <w:tcW w:w="2660" w:type="dxa"/>
            <w:vMerge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3. Նախագծի 1-ին հոդվածով նախատեսված «Հոդված 21.1»-ի 5-րդ մասի 2-րդ նախադասությունն անհրաժեշտ է հանել` նկատի ունենալով Նախագծի նույն հոդվածի 3-րդ մասի պահանջները, որոնք նախատեսում են, որ հաշետովությունների բովանդակության նկարագիրը (այսինքն` այն բոլոր տվյալները, որոնք պետք է ներառվեն վիճակագրական հաշվետվություններում) սահմանում է ՀՀ դատարանների նախագահների խորհուրդը: Այս կապակցությամբ Նախագծի նույն հոդվածից անհրաժեշտ է հանել 9-րդ, 10-րդ, 11-րդ, և 12-րդ մասերը, իսկ 8-րդ մասը` խմբագրել:</w:t>
            </w:r>
          </w:p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   Բացի այդ, անհրաժեշտ է նկատի ունենալ, որ տվյալ գործառույթի իրականացման համար անհրաժեշտ է լինելու ստեղծել բազմաֆունկցիոնալ ծրագիր, ինչը կապված է լինելու բավականին մեծ ֆինանսական միջոցների հետ: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 մասնակի: 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5-րդ մասի 2-րդ նախադասությունն հանվել է:   Նախագծի 9-րդ, 10-րդ, 11-րդ, և 12-րդ մասերը հանելու առաջարկը չի ընդունվել, քանի որ նախագիծը սահմանում է այն վիճակագրական տվայլների ցանկը, որոնք ենթակա են պարտադիր հրապարակման՝ միևնույն ժամանկ ԴՆԽ-ին իրավունք վերապահելով ընդլայնել այդ ցանկը այլ տվյալներով: Արդյունքում, 3-րդ մասը շարադրվել է հետևյալ խմբագրությամբ. </w:t>
            </w:r>
          </w:p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4B051E">
              <w:rPr>
                <w:rFonts w:ascii="GHEA Grapalat" w:hAnsi="GHEA Grapalat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ab/>
              <w:t>Դատարանների նախագահների խորհուրդը սահմանում է դատական վիճակագրության վարման կարգը, վիճակագրական դասակարգիչները, վիճակագրական հաշվետվությունների բովանդակության նկարագրությունը, հրապարակման ենթակա վիճակագրական տվյալները և դրանց  հրապարակման կարգը:»</w:t>
            </w:r>
          </w:p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8-րդ մասը շարադրվել է հետևյալ խմբագրությամբ. «</w:t>
            </w:r>
            <w:r w:rsidRPr="004B051E">
              <w:rPr>
                <w:rFonts w:ascii="GHEA Grapalat" w:hAnsi="GHEA Grapalat" w:cs="Sylfaen"/>
                <w:lang w:val="af-ZA"/>
              </w:rPr>
              <w:t xml:space="preserve">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Դատական դեպարտամենտը դատական իշխանության պաշտոնական ինտերնետային կայքում՝ վիճակագրական տվյալների հրապարակման համար առանձնացված հատուկ բաժնում պարտադիր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հրապարակում է սույն հոդվածի առնվազն 9-րդ, 10-րդ, 11-րդ, 12-րդ  մասերով նախատեսված տվյալները»:</w:t>
            </w:r>
          </w:p>
        </w:tc>
      </w:tr>
      <w:tr w:rsidR="003060B8" w:rsidRPr="004B051E" w:rsidTr="00483558">
        <w:tc>
          <w:tcPr>
            <w:tcW w:w="2660" w:type="dxa"/>
            <w:vMerge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4. Նախագծի 1-ին հոդվածով նախատեսված «Հոդված 21.1»-ի 6-րդ մասով նախատեսված դրոյթները լրացուցիչ հիմնավորման կարիք ունեն: Բացի այդ, անհրաժեշտ է նկտաի ունենանալ, որ հավաքագրված բոլոր վիճակագրական տվյալները հրապարակվում են դատական իշխանության ինտերնետային կայքում, որոնք հասանելի են ինչպես պետական ու տեղական ինքնակառավարման մարմիններին, այնպես էլ ֆիզիկական ու իրավաբանական անձանց: Նույնիսկ, եթե վիճակագրական տվյալների վերաբերյալ հաստատված հաշվետվությունների ուղարկումը Հանրապետության Նախագահի աշխատակազմ և ՀՀ արդարադատության նախարարություն կրում է զուտ տեղեկատվական բնույթ, ապա այն կորցնում է իր արդիականությունը, քանի որ Նախագծով արդեն իսկ նախատեսվում է այդ տվյալների հրապարակումը դատական իշխանության պաշտոնական ինտերնետային կայքում: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Չի ընդունվել: 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Ինչպես նշվեց վերը, ԴՆԽ-ի որոշմամբ կարող են սահմանվել վիճակագրական տվյալների տարբեր դասակարգիչներ, որոնցով պետք է  հավաքագրվի վիճակագարկան տեղեկատվությունը: Սակայն, նախագծով չի նախատեսվում բոլոր դասակարգիչներով հավաքագրվող վիճակագրական տվյալների պարտադիր հրապարակման պահանջ, քանի որ դրանք առավելապես ներքին օգտագործման և քաղաքականության մշակման համար կարևոր տեղեկատվություն են ներկայացնում և հանրային մեծ հետաքրքրություն կարող են չպարունակել: Մինչդեռ, դատարանների  գործունեության վերաբերյալ  բոլոր կիսամյակային և տարեկան վիճակագրական տվյալների մասին հաշվետվությունները Հանրապետության Նախագահի աշխատակազմ  և  արդարադատության նախարարություն ուղարկելու պահանջը բխում է քաղաքականության մշակման և արդարադաւոթյան ոլորտում վերջիններիս վերապահված լիազորություների իրականացման արդյունավետության ապահովման նկատառումներից: </w:t>
            </w:r>
          </w:p>
        </w:tc>
      </w:tr>
      <w:tr w:rsidR="003060B8" w:rsidRPr="004B051E" w:rsidTr="00483558">
        <w:tc>
          <w:tcPr>
            <w:tcW w:w="266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67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>5. Նախագծի 3-րդ հոդվածում «2-րդ» բառերն անհրաժեշտ է փոխարինել «1-ին» բառերով:</w:t>
            </w:r>
          </w:p>
        </w:tc>
        <w:tc>
          <w:tcPr>
            <w:tcW w:w="2103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է: </w:t>
            </w:r>
          </w:p>
        </w:tc>
        <w:tc>
          <w:tcPr>
            <w:tcW w:w="5220" w:type="dxa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060B8" w:rsidRPr="004B051E" w:rsidRDefault="003060B8" w:rsidP="003060B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34"/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5812"/>
        <w:gridCol w:w="2103"/>
        <w:gridCol w:w="5220"/>
      </w:tblGrid>
      <w:tr w:rsidR="003060B8" w:rsidRPr="004B051E" w:rsidTr="003060B8">
        <w:tc>
          <w:tcPr>
            <w:tcW w:w="2552" w:type="dxa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ՀՀ վճռաբեկ դատարան</w:t>
            </w:r>
          </w:p>
        </w:tc>
        <w:tc>
          <w:tcPr>
            <w:tcW w:w="5812" w:type="dxa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Սկզբունքորեն կարելի է ընդունել առաջին ատյանի և վերաքննիչ դատարանների նախագահների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պաշտոնավարման ժամկետի ողջամիտ սահմանափակումներ ներդնելու գաղափարը, սակայն գտնում ենք, որ  առաջին ատյանի և վերաքննիչ դատարանների նախագահնրին պետք է հնարավորություն տրվի տվյալ պաշտոնում պաշտոնավարելու ոչ ավելի քան 2 անգամ անընդմեջ, այլ ոչ թե՝ մեկ անգամ անընդմեջ, ինչպես նախատեսված է Նախագծի «Հոդված  3-ով» նախատեսված 125-ի 22-րդ մասում:</w:t>
            </w:r>
          </w:p>
        </w:tc>
        <w:tc>
          <w:tcPr>
            <w:tcW w:w="2103" w:type="dxa"/>
            <w:vAlign w:val="center"/>
          </w:tcPr>
          <w:p w:rsidR="003060B8" w:rsidRPr="004B051E" w:rsidRDefault="003060B8" w:rsidP="0048355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Չի ընդունվել</w:t>
            </w:r>
          </w:p>
        </w:tc>
        <w:tc>
          <w:tcPr>
            <w:tcW w:w="5220" w:type="dxa"/>
            <w:vAlign w:val="center"/>
          </w:tcPr>
          <w:p w:rsidR="003060B8" w:rsidRPr="004B051E" w:rsidRDefault="003060B8" w:rsidP="0048355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t xml:space="preserve">Դատարանների նախագահնրին 2 անգամ անընդմեջ  տվյալ պաշտոնում պաշտոնավարելու  </w:t>
            </w:r>
            <w:r w:rsidRPr="004B051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հնարավորության դեպքում իմաստազրկվում է ռոտացիայի էությունը:</w:t>
            </w:r>
          </w:p>
        </w:tc>
      </w:tr>
    </w:tbl>
    <w:p w:rsidR="003060B8" w:rsidRPr="004B051E" w:rsidRDefault="003060B8" w:rsidP="00862533">
      <w:pPr>
        <w:spacing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3060B8" w:rsidRPr="004B051E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A27"/>
    <w:multiLevelType w:val="hybridMultilevel"/>
    <w:tmpl w:val="5C9E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6138"/>
    <w:multiLevelType w:val="hybridMultilevel"/>
    <w:tmpl w:val="8AA0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0072"/>
    <w:multiLevelType w:val="hybridMultilevel"/>
    <w:tmpl w:val="8AA0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21F0A"/>
    <w:multiLevelType w:val="hybridMultilevel"/>
    <w:tmpl w:val="E282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49B5"/>
    <w:multiLevelType w:val="hybridMultilevel"/>
    <w:tmpl w:val="3332937C"/>
    <w:lvl w:ilvl="0" w:tplc="C01EDFD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727D"/>
    <w:multiLevelType w:val="hybridMultilevel"/>
    <w:tmpl w:val="7C7E7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A0ED9"/>
    <w:multiLevelType w:val="hybridMultilevel"/>
    <w:tmpl w:val="BC3E4902"/>
    <w:lvl w:ilvl="0" w:tplc="66A2DD4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F815F3"/>
    <w:rsid w:val="00002E65"/>
    <w:rsid w:val="00025F95"/>
    <w:rsid w:val="00051176"/>
    <w:rsid w:val="00090D95"/>
    <w:rsid w:val="0009491B"/>
    <w:rsid w:val="00095DAB"/>
    <w:rsid w:val="000D0C63"/>
    <w:rsid w:val="000D4772"/>
    <w:rsid w:val="000D7EBA"/>
    <w:rsid w:val="0012647E"/>
    <w:rsid w:val="0012758F"/>
    <w:rsid w:val="001527C0"/>
    <w:rsid w:val="0017793A"/>
    <w:rsid w:val="00184699"/>
    <w:rsid w:val="001A35E4"/>
    <w:rsid w:val="001A7A5D"/>
    <w:rsid w:val="001A7E26"/>
    <w:rsid w:val="001B39DA"/>
    <w:rsid w:val="001C0D37"/>
    <w:rsid w:val="001F326E"/>
    <w:rsid w:val="002343F9"/>
    <w:rsid w:val="002633B8"/>
    <w:rsid w:val="002D2C7A"/>
    <w:rsid w:val="002F5226"/>
    <w:rsid w:val="003060B8"/>
    <w:rsid w:val="00307309"/>
    <w:rsid w:val="00317826"/>
    <w:rsid w:val="00325D58"/>
    <w:rsid w:val="003309E4"/>
    <w:rsid w:val="0037359F"/>
    <w:rsid w:val="00383CD4"/>
    <w:rsid w:val="00395AEA"/>
    <w:rsid w:val="003D01C4"/>
    <w:rsid w:val="003D2364"/>
    <w:rsid w:val="003D3348"/>
    <w:rsid w:val="003E14FC"/>
    <w:rsid w:val="003E3D1A"/>
    <w:rsid w:val="003E7C39"/>
    <w:rsid w:val="003F5F09"/>
    <w:rsid w:val="00400A9D"/>
    <w:rsid w:val="004332C6"/>
    <w:rsid w:val="0047473A"/>
    <w:rsid w:val="0048100F"/>
    <w:rsid w:val="00481224"/>
    <w:rsid w:val="00494F68"/>
    <w:rsid w:val="00496C5B"/>
    <w:rsid w:val="004A6F77"/>
    <w:rsid w:val="004B051E"/>
    <w:rsid w:val="004B1449"/>
    <w:rsid w:val="004B6C4A"/>
    <w:rsid w:val="00534712"/>
    <w:rsid w:val="00545948"/>
    <w:rsid w:val="005561EA"/>
    <w:rsid w:val="00564674"/>
    <w:rsid w:val="00576D09"/>
    <w:rsid w:val="005A1202"/>
    <w:rsid w:val="005C170E"/>
    <w:rsid w:val="005E48EC"/>
    <w:rsid w:val="005F0479"/>
    <w:rsid w:val="005F2730"/>
    <w:rsid w:val="005F5034"/>
    <w:rsid w:val="00613A5D"/>
    <w:rsid w:val="00615997"/>
    <w:rsid w:val="0062124F"/>
    <w:rsid w:val="00644D19"/>
    <w:rsid w:val="00661397"/>
    <w:rsid w:val="00661ED5"/>
    <w:rsid w:val="0068106A"/>
    <w:rsid w:val="006B02A6"/>
    <w:rsid w:val="006B1FB2"/>
    <w:rsid w:val="006C7DA4"/>
    <w:rsid w:val="006D05C9"/>
    <w:rsid w:val="006E3A0D"/>
    <w:rsid w:val="00714F23"/>
    <w:rsid w:val="00743D30"/>
    <w:rsid w:val="00756B03"/>
    <w:rsid w:val="007645A5"/>
    <w:rsid w:val="00781B84"/>
    <w:rsid w:val="00783BD2"/>
    <w:rsid w:val="007E0ED6"/>
    <w:rsid w:val="007F4988"/>
    <w:rsid w:val="00810EFD"/>
    <w:rsid w:val="008214FB"/>
    <w:rsid w:val="008247CB"/>
    <w:rsid w:val="00832FD1"/>
    <w:rsid w:val="00853A3C"/>
    <w:rsid w:val="00862533"/>
    <w:rsid w:val="00865B71"/>
    <w:rsid w:val="008C01AF"/>
    <w:rsid w:val="008C1314"/>
    <w:rsid w:val="008E71E4"/>
    <w:rsid w:val="00904BCB"/>
    <w:rsid w:val="0091604F"/>
    <w:rsid w:val="009423C2"/>
    <w:rsid w:val="00983CFD"/>
    <w:rsid w:val="009969D9"/>
    <w:rsid w:val="009A6EE0"/>
    <w:rsid w:val="009E7106"/>
    <w:rsid w:val="009F0FD9"/>
    <w:rsid w:val="00A03FEC"/>
    <w:rsid w:val="00A1026E"/>
    <w:rsid w:val="00A10950"/>
    <w:rsid w:val="00A33444"/>
    <w:rsid w:val="00A46761"/>
    <w:rsid w:val="00A54923"/>
    <w:rsid w:val="00A650BF"/>
    <w:rsid w:val="00A73D68"/>
    <w:rsid w:val="00A84000"/>
    <w:rsid w:val="00A93AF0"/>
    <w:rsid w:val="00B145C7"/>
    <w:rsid w:val="00B735D1"/>
    <w:rsid w:val="00B83F37"/>
    <w:rsid w:val="00B92C8C"/>
    <w:rsid w:val="00B97B7D"/>
    <w:rsid w:val="00BB579C"/>
    <w:rsid w:val="00BC1476"/>
    <w:rsid w:val="00BC6503"/>
    <w:rsid w:val="00BD4186"/>
    <w:rsid w:val="00C22BF2"/>
    <w:rsid w:val="00C355DA"/>
    <w:rsid w:val="00C50CF6"/>
    <w:rsid w:val="00C525F9"/>
    <w:rsid w:val="00C86434"/>
    <w:rsid w:val="00CB2AC6"/>
    <w:rsid w:val="00CB77E9"/>
    <w:rsid w:val="00CC1E6B"/>
    <w:rsid w:val="00CD0195"/>
    <w:rsid w:val="00CD662F"/>
    <w:rsid w:val="00CE1120"/>
    <w:rsid w:val="00CE1470"/>
    <w:rsid w:val="00CE5A0D"/>
    <w:rsid w:val="00CF29D6"/>
    <w:rsid w:val="00D05F37"/>
    <w:rsid w:val="00D17A20"/>
    <w:rsid w:val="00D21E76"/>
    <w:rsid w:val="00D32CC2"/>
    <w:rsid w:val="00D507E6"/>
    <w:rsid w:val="00D868FA"/>
    <w:rsid w:val="00D93CBA"/>
    <w:rsid w:val="00DB4AD0"/>
    <w:rsid w:val="00DD77C2"/>
    <w:rsid w:val="00E4656F"/>
    <w:rsid w:val="00E50ED0"/>
    <w:rsid w:val="00E54377"/>
    <w:rsid w:val="00E612EF"/>
    <w:rsid w:val="00E9145F"/>
    <w:rsid w:val="00EC14BE"/>
    <w:rsid w:val="00EE274F"/>
    <w:rsid w:val="00F20C76"/>
    <w:rsid w:val="00F33197"/>
    <w:rsid w:val="00F347B2"/>
    <w:rsid w:val="00F41412"/>
    <w:rsid w:val="00F815F3"/>
    <w:rsid w:val="00F85696"/>
    <w:rsid w:val="00F87AA1"/>
    <w:rsid w:val="00FF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paragraph" w:styleId="ListParagraph">
    <w:name w:val="List Paragraph"/>
    <w:basedOn w:val="Normal"/>
    <w:uiPriority w:val="34"/>
    <w:qFormat/>
    <w:rsid w:val="00494F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4F6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Ministry of Justice of the Republic of Armenia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Muradjan</dc:creator>
  <cp:lastModifiedBy>Tsovinar Soghomonyan</cp:lastModifiedBy>
  <cp:revision>4</cp:revision>
  <cp:lastPrinted>2013-02-20T13:36:00Z</cp:lastPrinted>
  <dcterms:created xsi:type="dcterms:W3CDTF">2013-08-23T08:43:00Z</dcterms:created>
  <dcterms:modified xsi:type="dcterms:W3CDTF">2013-08-23T09:01:00Z</dcterms:modified>
</cp:coreProperties>
</file>