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D218D8" w:rsidRDefault="00D218D8" w:rsidP="00FA61D5">
      <w:pPr>
        <w:rPr>
          <w:rFonts w:ascii="GHEA Grapalat" w:hAnsi="GHEA Grapalat"/>
          <w:lang w:val="af-ZA"/>
        </w:rPr>
      </w:pPr>
    </w:p>
    <w:p w:rsidR="00D218D8" w:rsidRPr="000B4E58" w:rsidRDefault="00D218D8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67531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218D8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2013-10-21T11:15:00Z</dcterms:modified>
</cp:coreProperties>
</file>