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590" w:rsidRPr="003167F4" w:rsidRDefault="008B0590" w:rsidP="008B0590">
      <w:pPr>
        <w:jc w:val="right"/>
        <w:rPr>
          <w:rFonts w:ascii="GHEA Grapalat" w:hAnsi="GHEA Grapalat" w:cs="Sylfaen"/>
          <w:lang w:val="en-US"/>
        </w:rPr>
      </w:pPr>
      <w:r w:rsidRPr="003167F4">
        <w:rPr>
          <w:rFonts w:ascii="GHEA Grapalat" w:hAnsi="GHEA Grapalat" w:cs="Sylfaen"/>
          <w:lang w:val="en-US"/>
        </w:rPr>
        <w:t>ՆԱԽԱԳԻԾ</w:t>
      </w:r>
    </w:p>
    <w:p w:rsidR="008B0590" w:rsidRPr="003167F4" w:rsidRDefault="008B0590" w:rsidP="008B0590">
      <w:pPr>
        <w:rPr>
          <w:rFonts w:ascii="GHEA Grapalat" w:hAnsi="GHEA Grapalat" w:cs="Sylfaen"/>
          <w:lang w:val="en-US"/>
        </w:rPr>
      </w:pPr>
    </w:p>
    <w:p w:rsidR="008B0590" w:rsidRPr="003167F4" w:rsidRDefault="008B0590" w:rsidP="008B0590">
      <w:pPr>
        <w:jc w:val="center"/>
        <w:rPr>
          <w:rFonts w:ascii="GHEA Grapalat" w:hAnsi="GHEA Grapalat" w:cs="Sylfaen"/>
          <w:lang w:val="en-US"/>
        </w:rPr>
      </w:pPr>
      <w:r w:rsidRPr="003167F4">
        <w:rPr>
          <w:rFonts w:ascii="GHEA Grapalat" w:hAnsi="GHEA Grapalat" w:cs="Sylfaen"/>
          <w:lang w:val="en-US"/>
        </w:rPr>
        <w:t>ՀԱՅԱՍՏԱՆԻ ՀԱՆՐԱՊԵՏՈՒԹՅԱՆ ԿԱՌԱՎԱՐՈՒԹՅ</w:t>
      </w:r>
      <w:r>
        <w:rPr>
          <w:rFonts w:ascii="GHEA Grapalat" w:hAnsi="GHEA Grapalat" w:cs="Sylfaen"/>
          <w:lang w:val="en-US"/>
        </w:rPr>
        <w:t>ՈՒ</w:t>
      </w:r>
      <w:r w:rsidRPr="003167F4">
        <w:rPr>
          <w:rFonts w:ascii="GHEA Grapalat" w:hAnsi="GHEA Grapalat" w:cs="Sylfaen"/>
          <w:lang w:val="en-US"/>
        </w:rPr>
        <w:t xml:space="preserve">Ն </w:t>
      </w:r>
    </w:p>
    <w:p w:rsidR="008B0590" w:rsidRPr="003167F4" w:rsidRDefault="008B0590" w:rsidP="008B0590">
      <w:pPr>
        <w:jc w:val="center"/>
        <w:rPr>
          <w:rFonts w:ascii="GHEA Grapalat" w:hAnsi="GHEA Grapalat" w:cs="Sylfaen"/>
          <w:lang w:val="en-US"/>
        </w:rPr>
      </w:pPr>
    </w:p>
    <w:p w:rsidR="008B0590" w:rsidRPr="003167F4" w:rsidRDefault="008B0590" w:rsidP="008B0590">
      <w:pPr>
        <w:jc w:val="center"/>
        <w:rPr>
          <w:rFonts w:ascii="GHEA Grapalat" w:hAnsi="GHEA Grapalat" w:cs="Sylfaen"/>
          <w:lang w:val="en-US"/>
        </w:rPr>
      </w:pPr>
      <w:r w:rsidRPr="003167F4">
        <w:rPr>
          <w:rFonts w:ascii="GHEA Grapalat" w:hAnsi="GHEA Grapalat" w:cs="Sylfaen"/>
          <w:lang w:val="en-US"/>
        </w:rPr>
        <w:t>ՈՐՈՇՈՒՄ</w:t>
      </w:r>
    </w:p>
    <w:p w:rsidR="008B0590" w:rsidRPr="003167F4" w:rsidRDefault="008B0590" w:rsidP="008B0590">
      <w:pPr>
        <w:jc w:val="center"/>
        <w:rPr>
          <w:rFonts w:ascii="GHEA Grapalat" w:hAnsi="GHEA Grapalat" w:cs="Sylfaen"/>
          <w:lang w:val="en-US"/>
        </w:rPr>
      </w:pPr>
    </w:p>
    <w:p w:rsidR="008B0590" w:rsidRPr="003167F4" w:rsidRDefault="008B0590" w:rsidP="008B0590">
      <w:pPr>
        <w:jc w:val="center"/>
        <w:rPr>
          <w:rFonts w:ascii="GHEA Grapalat" w:hAnsi="GHEA Grapalat" w:cs="Sylfaen"/>
          <w:lang w:val="en-US"/>
        </w:rPr>
      </w:pPr>
      <w:r w:rsidRPr="003167F4">
        <w:rPr>
          <w:rFonts w:ascii="GHEA Grapalat" w:hAnsi="GHEA Grapalat" w:cs="Sylfaen"/>
          <w:lang w:val="en-US"/>
        </w:rPr>
        <w:t>________________ - ի 2014 թվականի N _____ -Ն</w:t>
      </w:r>
    </w:p>
    <w:p w:rsidR="008B0590" w:rsidRPr="003167F4" w:rsidRDefault="008B0590" w:rsidP="008B0590">
      <w:pPr>
        <w:jc w:val="center"/>
        <w:rPr>
          <w:rFonts w:ascii="GHEA Grapalat" w:hAnsi="GHEA Grapalat" w:cs="Sylfaen"/>
          <w:lang w:val="en-US"/>
        </w:rPr>
      </w:pPr>
    </w:p>
    <w:p w:rsidR="008B0590" w:rsidRPr="003167F4" w:rsidRDefault="008B0590" w:rsidP="008B0590">
      <w:pPr>
        <w:jc w:val="center"/>
        <w:rPr>
          <w:rFonts w:ascii="GHEA Grapalat" w:hAnsi="GHEA Grapalat" w:cs="Sylfaen"/>
          <w:lang w:val="en-US"/>
        </w:rPr>
      </w:pPr>
      <w:r w:rsidRPr="003167F4">
        <w:rPr>
          <w:rFonts w:ascii="GHEA Grapalat" w:hAnsi="GHEA Grapalat" w:cs="Sylfaen"/>
          <w:lang w:val="en-US"/>
        </w:rPr>
        <w:t xml:space="preserve">ՀԱՅԱՍՏԱՆԻ ՀԱՆՐԱՊԵՏՈՒԹՅԱՆ ԿԱՌԱՎԱՐՈՒԹՅԱՆ 2005 ԹՎԱԿԱՆԻ ՆՈՅԵՄԲԵՐԻ 3-Ի </w:t>
      </w:r>
      <w:r>
        <w:rPr>
          <w:rFonts w:ascii="GHEA Grapalat" w:hAnsi="GHEA Grapalat" w:cs="Sylfaen"/>
          <w:lang w:val="en-US"/>
        </w:rPr>
        <w:t>N</w:t>
      </w:r>
      <w:r w:rsidRPr="003167F4">
        <w:rPr>
          <w:rFonts w:ascii="GHEA Grapalat" w:hAnsi="GHEA Grapalat" w:cs="Sylfaen"/>
          <w:lang w:val="en-US"/>
        </w:rPr>
        <w:t xml:space="preserve"> 2118-</w:t>
      </w:r>
      <w:r>
        <w:rPr>
          <w:rFonts w:ascii="GHEA Grapalat" w:hAnsi="GHEA Grapalat" w:cs="Sylfaen"/>
          <w:lang w:val="en-US"/>
        </w:rPr>
        <w:t>Ն</w:t>
      </w:r>
      <w:r w:rsidRPr="003167F4">
        <w:rPr>
          <w:rFonts w:ascii="GHEA Grapalat" w:hAnsi="GHEA Grapalat" w:cs="Sylfaen"/>
          <w:lang w:val="en-US"/>
        </w:rPr>
        <w:t xml:space="preserve"> ՈՐՈՇՄԱՆ ՄԵՋ ՓՈՓՈԽՈՒԹՅՈՒՆՆԵՐ ԿԱՏԱՐԵԼՈՒ ՄԱՍԻՆ</w:t>
      </w:r>
    </w:p>
    <w:p w:rsidR="008B0590" w:rsidRPr="003167F4" w:rsidRDefault="008B0590" w:rsidP="008B0590">
      <w:pPr>
        <w:jc w:val="center"/>
        <w:rPr>
          <w:rFonts w:ascii="GHEA Grapalat" w:hAnsi="GHEA Grapalat" w:cs="Sylfaen"/>
          <w:lang w:val="en-US"/>
        </w:rPr>
      </w:pPr>
    </w:p>
    <w:p w:rsidR="008B0590" w:rsidRPr="003167F4" w:rsidRDefault="008B0590" w:rsidP="008B0590">
      <w:pPr>
        <w:jc w:val="center"/>
        <w:rPr>
          <w:rFonts w:ascii="GHEA Grapalat" w:hAnsi="GHEA Grapalat" w:cs="Sylfaen"/>
          <w:lang w:val="en-US"/>
        </w:rPr>
      </w:pPr>
    </w:p>
    <w:p w:rsidR="008B0590" w:rsidRPr="003167F4" w:rsidRDefault="008B0590" w:rsidP="008B0590">
      <w:pPr>
        <w:spacing w:line="360" w:lineRule="auto"/>
        <w:jc w:val="both"/>
        <w:rPr>
          <w:rFonts w:ascii="GHEA Grapalat" w:hAnsi="GHEA Grapalat" w:cs="Sylfaen"/>
          <w:lang w:val="en-US"/>
        </w:rPr>
      </w:pPr>
      <w:r w:rsidRPr="003167F4">
        <w:rPr>
          <w:rFonts w:ascii="GHEA Grapalat" w:hAnsi="GHEA Grapalat" w:cs="Sylfaen"/>
          <w:lang w:val="en-US"/>
        </w:rPr>
        <w:tab/>
        <w:t>Ղեկավարվելով «Պե</w:t>
      </w:r>
      <w:r>
        <w:rPr>
          <w:rFonts w:ascii="GHEA Grapalat" w:hAnsi="GHEA Grapalat" w:cs="Sylfaen"/>
          <w:lang w:val="en-US"/>
        </w:rPr>
        <w:t>տ</w:t>
      </w:r>
      <w:r w:rsidRPr="003167F4">
        <w:rPr>
          <w:rFonts w:ascii="GHEA Grapalat" w:hAnsi="GHEA Grapalat" w:cs="Sylfaen"/>
          <w:lang w:val="en-US"/>
        </w:rPr>
        <w:t xml:space="preserve">ական ոչ առևտրային կազմակերպությունների մասին» Հայաստանի Հանրապետության օրենքի 9-րդ հոդվածով և 13-րդ հոդվածի 2-րդ մասով՝ </w:t>
      </w:r>
    </w:p>
    <w:p w:rsidR="008B0590" w:rsidRPr="003167F4" w:rsidRDefault="008B0590" w:rsidP="008B0590">
      <w:pPr>
        <w:spacing w:line="360" w:lineRule="auto"/>
        <w:ind w:firstLine="708"/>
        <w:jc w:val="both"/>
        <w:rPr>
          <w:rFonts w:ascii="GHEA Grapalat" w:hAnsi="GHEA Grapalat" w:cs="Sylfaen"/>
          <w:b/>
          <w:lang w:val="en-US"/>
        </w:rPr>
      </w:pPr>
      <w:r w:rsidRPr="003167F4">
        <w:rPr>
          <w:rFonts w:ascii="GHEA Grapalat" w:hAnsi="GHEA Grapalat" w:cs="Sylfaen"/>
          <w:lang w:val="en-US"/>
        </w:rPr>
        <w:t xml:space="preserve">Հայաստանի Հանրապետության կառավարությունը </w:t>
      </w:r>
      <w:r w:rsidRPr="003167F4">
        <w:rPr>
          <w:rFonts w:ascii="GHEA Grapalat" w:hAnsi="GHEA Grapalat" w:cs="Sylfaen"/>
          <w:b/>
          <w:lang w:val="en-US"/>
        </w:rPr>
        <w:t>որոշում է.</w:t>
      </w:r>
    </w:p>
    <w:p w:rsidR="008B0590" w:rsidRPr="003167F4" w:rsidRDefault="008B0590" w:rsidP="008B0590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  <w:r w:rsidRPr="003167F4">
        <w:rPr>
          <w:rFonts w:ascii="GHEA Grapalat" w:hAnsi="GHEA Grapalat" w:cs="Sylfaen"/>
          <w:lang w:val="en-US"/>
        </w:rPr>
        <w:t>1. Հայաստանի Հանրապետության կառավարության 2005 թվականի նոյեմբերի 3-ի «Պետ</w:t>
      </w:r>
      <w:r>
        <w:rPr>
          <w:rFonts w:ascii="GHEA Grapalat" w:hAnsi="GHEA Grapalat" w:cs="Sylfaen"/>
          <w:lang w:val="en-US"/>
        </w:rPr>
        <w:t>ա</w:t>
      </w:r>
      <w:r w:rsidRPr="003167F4">
        <w:rPr>
          <w:rFonts w:ascii="GHEA Grapalat" w:hAnsi="GHEA Grapalat" w:cs="Sylfaen"/>
          <w:lang w:val="en-US"/>
        </w:rPr>
        <w:t>կան ոչ առևտրային կազմակերպություն ստեղծելու մասին» N 2118-Ն որոշման</w:t>
      </w:r>
      <w:r>
        <w:rPr>
          <w:rFonts w:ascii="GHEA Grapalat" w:hAnsi="GHEA Grapalat" w:cs="Sylfaen"/>
          <w:lang w:val="en-US"/>
        </w:rPr>
        <w:t xml:space="preserve"> (այսուհետ` Որոշում)</w:t>
      </w:r>
      <w:r w:rsidRPr="003167F4">
        <w:rPr>
          <w:rFonts w:ascii="GHEA Grapalat" w:hAnsi="GHEA Grapalat" w:cs="Sylfaen"/>
          <w:lang w:val="en-US"/>
        </w:rPr>
        <w:t xml:space="preserve"> մեջ կատարել հետևյալ փոփոխությունները՝</w:t>
      </w:r>
    </w:p>
    <w:p w:rsidR="008B4403" w:rsidRDefault="008B0590" w:rsidP="008B4403">
      <w:pPr>
        <w:spacing w:line="360" w:lineRule="auto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ab/>
      </w:r>
      <w:r w:rsidR="008B4403" w:rsidRPr="00243361">
        <w:rPr>
          <w:rFonts w:ascii="GHEA Grapalat" w:hAnsi="GHEA Grapalat" w:cs="Sylfaen"/>
          <w:lang w:val="en-US"/>
        </w:rPr>
        <w:t>1) Որոշման նախաբանից հանել «, ինչպես նաև Հայաստանի Հանրապետության կառավարության 2003 թվականի դեկտեմբերի 18-ի N 1745-Ն որոշման 32-րդ կետին» բառերը.</w:t>
      </w:r>
    </w:p>
    <w:p w:rsidR="008B0590" w:rsidRPr="003167F4" w:rsidRDefault="008B4403" w:rsidP="008B4403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2</w:t>
      </w:r>
      <w:r w:rsidR="008B0590">
        <w:rPr>
          <w:rFonts w:ascii="GHEA Grapalat" w:hAnsi="GHEA Grapalat" w:cs="Sylfaen"/>
          <w:lang w:val="en-US"/>
        </w:rPr>
        <w:t>) Ո</w:t>
      </w:r>
      <w:r w:rsidR="008B0590" w:rsidRPr="003167F4">
        <w:rPr>
          <w:rFonts w:ascii="GHEA Grapalat" w:hAnsi="GHEA Grapalat" w:cs="Sylfaen"/>
          <w:lang w:val="en-US"/>
        </w:rPr>
        <w:t>րոշման մեջ «Իրավախախտում կատարած անչափահասների հատուկ ստեղծագործական կենտրոն» պետական ոչ առևտրային կազմակերպություն» բառերը և դրանց բոլոր հոլովաձևերը փոխարինել «</w:t>
      </w:r>
      <w:r w:rsidR="008B0590">
        <w:rPr>
          <w:rFonts w:ascii="GHEA Grapalat" w:hAnsi="GHEA Grapalat" w:cs="Sylfaen"/>
          <w:lang w:val="en-US"/>
        </w:rPr>
        <w:t>Իրավախախտում կատարած անձանց</w:t>
      </w:r>
      <w:r w:rsidR="008B0590" w:rsidRPr="003167F4">
        <w:rPr>
          <w:rFonts w:ascii="GHEA Grapalat" w:hAnsi="GHEA Grapalat" w:cs="Sylfaen"/>
          <w:lang w:val="en-US"/>
        </w:rPr>
        <w:t xml:space="preserve"> վերականգնողական կենտրոն» պետական ոչ առևտրային կազմակերպություն» բառերով՝ իրենց համապատասխան հոլովաձևերով.</w:t>
      </w:r>
    </w:p>
    <w:p w:rsidR="008B0590" w:rsidRPr="003167F4" w:rsidRDefault="008B4403" w:rsidP="008B0590">
      <w:pPr>
        <w:spacing w:line="360" w:lineRule="auto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ab/>
        <w:t>3</w:t>
      </w:r>
      <w:r w:rsidR="008B0590" w:rsidRPr="003167F4">
        <w:rPr>
          <w:rFonts w:ascii="GHEA Grapalat" w:hAnsi="GHEA Grapalat" w:cs="Sylfaen"/>
          <w:lang w:val="en-US"/>
        </w:rPr>
        <w:t>) 3-րդ կետը շարադրել հետևյալ խմբագրությամբ.</w:t>
      </w:r>
    </w:p>
    <w:p w:rsidR="008B0590" w:rsidRPr="003167F4" w:rsidRDefault="008B0590" w:rsidP="008B0590">
      <w:pPr>
        <w:spacing w:line="360" w:lineRule="auto"/>
        <w:jc w:val="both"/>
        <w:rPr>
          <w:rFonts w:ascii="GHEA Grapalat" w:hAnsi="GHEA Grapalat" w:cs="Sylfaen"/>
          <w:lang w:val="en-US"/>
        </w:rPr>
      </w:pPr>
      <w:r w:rsidRPr="003167F4">
        <w:rPr>
          <w:rFonts w:ascii="GHEA Grapalat" w:hAnsi="GHEA Grapalat" w:cs="Sylfaen"/>
          <w:lang w:val="en-US"/>
        </w:rPr>
        <w:tab/>
        <w:t>«3. Սահմանել, որ`</w:t>
      </w:r>
    </w:p>
    <w:p w:rsidR="008B0590" w:rsidRPr="003167F4" w:rsidRDefault="008B0590" w:rsidP="008B0590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  <w:r w:rsidRPr="003167F4">
        <w:rPr>
          <w:rFonts w:ascii="GHEA Grapalat" w:hAnsi="GHEA Grapalat" w:cs="Sylfaen"/>
          <w:lang w:val="en-US"/>
        </w:rPr>
        <w:t>1) Կազմակերպության նպատակներն են քրեական արդարադատության ոլորտում իրավախախտում կատարած անձանց ուղղումը, սոցիալական վերականգնումն և վերաինտեգրումը, կրկնահանցագործությունների կանխումը. հասարակության անվտանգության բարձրացումը:</w:t>
      </w:r>
    </w:p>
    <w:p w:rsidR="008B0590" w:rsidRPr="003167F4" w:rsidRDefault="008B0590" w:rsidP="008B0590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  <w:r w:rsidRPr="003167F4">
        <w:rPr>
          <w:rFonts w:ascii="GHEA Grapalat" w:hAnsi="GHEA Grapalat" w:cs="Sylfaen"/>
          <w:lang w:val="en-US"/>
        </w:rPr>
        <w:t>2) Կազմակերպության գործունեության առարկան է.</w:t>
      </w:r>
    </w:p>
    <w:p w:rsidR="008B0590" w:rsidRPr="003167F4" w:rsidRDefault="008B0590" w:rsidP="008B0590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  <w:r w:rsidRPr="003167F4">
        <w:rPr>
          <w:rFonts w:ascii="GHEA Grapalat" w:hAnsi="GHEA Grapalat" w:cs="Sylfaen"/>
          <w:lang w:val="en-US"/>
        </w:rPr>
        <w:lastRenderedPageBreak/>
        <w:t>ա. իրավախախտում կատարած անձանց ուղղման, սոցիալական վերականգնմանը և վերաինտեգրմանն ուղղված արդյունավետ և նպատակային ծրագրերի (այսուհետ՝ սոցիալական վերականգնողական ծրագրեր)</w:t>
      </w:r>
      <w:r>
        <w:rPr>
          <w:rFonts w:ascii="GHEA Grapalat" w:hAnsi="GHEA Grapalat" w:cs="Sylfaen"/>
          <w:lang w:val="en-US"/>
        </w:rPr>
        <w:t>,</w:t>
      </w:r>
      <w:r w:rsidRPr="003167F4">
        <w:rPr>
          <w:rFonts w:ascii="GHEA Grapalat" w:hAnsi="GHEA Grapalat" w:cs="Sylfaen"/>
          <w:lang w:val="en-US"/>
        </w:rPr>
        <w:t xml:space="preserve"> այդ թվում՝ կրթական, մշ</w:t>
      </w:r>
      <w:r>
        <w:rPr>
          <w:rFonts w:ascii="GHEA Grapalat" w:hAnsi="GHEA Grapalat" w:cs="Sylfaen"/>
          <w:lang w:val="hy-AM"/>
        </w:rPr>
        <w:t>ա</w:t>
      </w:r>
      <w:r w:rsidRPr="003167F4">
        <w:rPr>
          <w:rFonts w:ascii="GHEA Grapalat" w:hAnsi="GHEA Grapalat" w:cs="Sylfaen"/>
          <w:lang w:val="en-US"/>
        </w:rPr>
        <w:t xml:space="preserve">կութային, մարզական, մանկավարժական, հոգեբանական և սոցիալական աշխատանքի միասնական չափորոշիչների </w:t>
      </w:r>
      <w:r>
        <w:rPr>
          <w:rFonts w:ascii="GHEA Grapalat" w:hAnsi="GHEA Grapalat" w:cs="Sylfaen"/>
          <w:lang w:val="en-US"/>
        </w:rPr>
        <w:t>մշակումը</w:t>
      </w:r>
      <w:r w:rsidRPr="003167F4">
        <w:rPr>
          <w:rFonts w:ascii="GHEA Grapalat" w:hAnsi="GHEA Grapalat" w:cs="Sylfaen"/>
          <w:lang w:val="en-US"/>
        </w:rPr>
        <w:t xml:space="preserve"> և լիազոր մարմնի հաստատմանը ներկայացնելը,</w:t>
      </w:r>
    </w:p>
    <w:p w:rsidR="008B0590" w:rsidRPr="003167F4" w:rsidRDefault="008B0590" w:rsidP="008B0590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բ.</w:t>
      </w:r>
      <w:r w:rsidRPr="003167F4">
        <w:rPr>
          <w:rFonts w:ascii="GHEA Grapalat" w:hAnsi="GHEA Grapalat" w:cs="Sylfaen"/>
          <w:lang w:val="en-US"/>
        </w:rPr>
        <w:t xml:space="preserve"> սոցիալական վերականգնողական ծրագրերի իրականացումը քրեակ</w:t>
      </w:r>
      <w:r>
        <w:rPr>
          <w:rFonts w:ascii="GHEA Grapalat" w:hAnsi="GHEA Grapalat" w:cs="Sylfaen"/>
          <w:lang w:val="en-US"/>
        </w:rPr>
        <w:t>ատարողական հիմնարկներում պահվող կամ</w:t>
      </w:r>
      <w:r w:rsidRPr="003167F4">
        <w:rPr>
          <w:rFonts w:ascii="GHEA Grapalat" w:hAnsi="GHEA Grapalat" w:cs="Sylfaen"/>
          <w:lang w:val="en-US"/>
        </w:rPr>
        <w:t xml:space="preserve"> ազատությունից </w:t>
      </w:r>
      <w:r>
        <w:rPr>
          <w:rFonts w:ascii="GHEA Grapalat" w:hAnsi="GHEA Grapalat" w:cs="Sylfaen"/>
          <w:lang w:val="en-US"/>
        </w:rPr>
        <w:t xml:space="preserve">զրկելու հետ չկապված պատիժ կրող կամ </w:t>
      </w:r>
      <w:r w:rsidRPr="003167F4">
        <w:rPr>
          <w:rFonts w:ascii="GHEA Grapalat" w:hAnsi="GHEA Grapalat" w:cs="Sylfaen"/>
          <w:lang w:val="en-US"/>
        </w:rPr>
        <w:t>վերահսկողության տակ գտնվող</w:t>
      </w:r>
      <w:r>
        <w:rPr>
          <w:rFonts w:ascii="GHEA Grapalat" w:hAnsi="GHEA Grapalat" w:cs="Sylfaen"/>
          <w:lang w:val="en-US"/>
        </w:rPr>
        <w:t>, ինչպես նաև</w:t>
      </w:r>
      <w:r w:rsidRPr="003167F4">
        <w:rPr>
          <w:rFonts w:ascii="GHEA Grapalat" w:hAnsi="GHEA Grapalat" w:cs="Sylfaen"/>
          <w:lang w:val="en-US"/>
        </w:rPr>
        <w:t xml:space="preserve"> պատժից ազատված անձանց համար,</w:t>
      </w:r>
    </w:p>
    <w:p w:rsidR="008B0590" w:rsidRPr="003167F4" w:rsidRDefault="008B0590" w:rsidP="008B0590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գ.</w:t>
      </w:r>
      <w:r w:rsidRPr="003167F4">
        <w:rPr>
          <w:rFonts w:ascii="GHEA Grapalat" w:hAnsi="GHEA Grapalat" w:cs="Sylfaen"/>
          <w:lang w:val="en-US"/>
        </w:rPr>
        <w:t xml:space="preserve"> իրավախախտում կատարած անչափահասների արտադպրոցական դաստիարակության կազմակերպմանը, իրավագիտակցության բարձրացմանը, պատժից ազատված անչափահասների սոցիալական վերաինտեգրմանն ուղղված միջոցառումների կազմակերպումը,</w:t>
      </w:r>
    </w:p>
    <w:p w:rsidR="008B0590" w:rsidRPr="003167F4" w:rsidRDefault="008B0590" w:rsidP="008B0590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դ.</w:t>
      </w:r>
      <w:r w:rsidRPr="003167F4">
        <w:rPr>
          <w:rFonts w:ascii="GHEA Grapalat" w:hAnsi="GHEA Grapalat" w:cs="Sylfaen"/>
          <w:lang w:val="en-US"/>
        </w:rPr>
        <w:t xml:space="preserve"> քրեական արդարադատության ոլորտում իրավախախտների հետ աշխատանքում հասարակական նախաձեռնությունների սատարումն ու խթանումը, դրանց պետական աջակցության ցուցաբերումը,</w:t>
      </w:r>
    </w:p>
    <w:p w:rsidR="008B0590" w:rsidRPr="003167F4" w:rsidRDefault="008B0590" w:rsidP="008B0590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ե.</w:t>
      </w:r>
      <w:r w:rsidRPr="003167F4">
        <w:rPr>
          <w:rFonts w:ascii="GHEA Grapalat" w:hAnsi="GHEA Grapalat" w:cs="Sylfaen"/>
          <w:lang w:val="en-US"/>
        </w:rPr>
        <w:t xml:space="preserve"> սոցիալական վերականգնողական ծրագրերի իրականացման շրջանակում պետական և ոչ պետական մարմինների փոխգործակցությանն ուղ</w:t>
      </w:r>
      <w:r>
        <w:rPr>
          <w:rFonts w:ascii="GHEA Grapalat" w:hAnsi="GHEA Grapalat" w:cs="Sylfaen"/>
          <w:lang w:val="en-US"/>
        </w:rPr>
        <w:t>ղ</w:t>
      </w:r>
      <w:r w:rsidRPr="003167F4">
        <w:rPr>
          <w:rFonts w:ascii="GHEA Grapalat" w:hAnsi="GHEA Grapalat" w:cs="Sylfaen"/>
          <w:lang w:val="en-US"/>
        </w:rPr>
        <w:t>ված համալիր միջոցառումների իրականացումը, օտարերկրյա և միջազգային կազմակերպությունների հետ միջոցառումների, խորհրդատվության և համաժողովների կազմակերպումը,</w:t>
      </w:r>
    </w:p>
    <w:p w:rsidR="008B0590" w:rsidRPr="003167F4" w:rsidRDefault="008B0590" w:rsidP="008B0590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զ.</w:t>
      </w:r>
      <w:r w:rsidRPr="003167F4">
        <w:rPr>
          <w:rFonts w:ascii="GHEA Grapalat" w:hAnsi="GHEA Grapalat" w:cs="Sylfaen"/>
          <w:lang w:val="en-US"/>
        </w:rPr>
        <w:t xml:space="preserve"> տեղեկատվական և վիճակագրական շտեմարանների ձևավորումը, վերլուծությունը և ուսումնասիրությունների իրականացնումը,</w:t>
      </w:r>
    </w:p>
    <w:p w:rsidR="008B0590" w:rsidRDefault="008B0590" w:rsidP="008B0590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է.</w:t>
      </w:r>
      <w:r w:rsidRPr="003167F4">
        <w:rPr>
          <w:rFonts w:ascii="GHEA Grapalat" w:hAnsi="GHEA Grapalat" w:cs="Sylfaen"/>
          <w:lang w:val="en-US"/>
        </w:rPr>
        <w:t xml:space="preserve"> տեղեկատվական-վերլուծական նյութերի և գրականության պատրաստումը:»:</w:t>
      </w:r>
    </w:p>
    <w:p w:rsidR="008B0590" w:rsidRPr="003167F4" w:rsidRDefault="008B4403" w:rsidP="008B0590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4</w:t>
      </w:r>
      <w:r w:rsidR="008B0590">
        <w:rPr>
          <w:rFonts w:ascii="GHEA Grapalat" w:hAnsi="GHEA Grapalat" w:cs="Sylfaen"/>
          <w:lang w:val="en-US"/>
        </w:rPr>
        <w:t>) Որոշման 6-րդ կետը ուժը կորցրած ճանաչել:</w:t>
      </w:r>
    </w:p>
    <w:p w:rsidR="008B0590" w:rsidRPr="003167F4" w:rsidRDefault="008B0590" w:rsidP="008B0590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2.</w:t>
      </w:r>
      <w:r w:rsidRPr="003167F4">
        <w:rPr>
          <w:rFonts w:ascii="GHEA Grapalat" w:hAnsi="GHEA Grapalat" w:cs="Sylfaen"/>
          <w:lang w:val="en-US"/>
        </w:rPr>
        <w:t xml:space="preserve"> Հայաստանի Հանրապետության արդարադատության նախարարին՝ </w:t>
      </w:r>
      <w:r>
        <w:rPr>
          <w:rFonts w:ascii="GHEA Grapalat" w:hAnsi="GHEA Grapalat" w:cs="Sylfaen"/>
          <w:lang w:val="en-US"/>
        </w:rPr>
        <w:t>սույն որոշումն</w:t>
      </w:r>
      <w:r w:rsidRPr="003167F4">
        <w:rPr>
          <w:rFonts w:ascii="GHEA Grapalat" w:hAnsi="GHEA Grapalat" w:cs="Sylfaen"/>
          <w:lang w:val="en-US"/>
        </w:rPr>
        <w:t xml:space="preserve"> ուժի մեջ մտնելուց հետո մեկամսյա ժամկետում ապահովել «</w:t>
      </w:r>
      <w:r>
        <w:rPr>
          <w:rFonts w:ascii="GHEA Grapalat" w:hAnsi="GHEA Grapalat" w:cs="Sylfaen"/>
          <w:lang w:val="en-US"/>
        </w:rPr>
        <w:t>Իրավախախտում կատարած անձանց</w:t>
      </w:r>
      <w:r w:rsidRPr="003167F4">
        <w:rPr>
          <w:rFonts w:ascii="GHEA Grapalat" w:hAnsi="GHEA Grapalat" w:cs="Sylfaen"/>
          <w:lang w:val="en-US"/>
        </w:rPr>
        <w:t xml:space="preserve"> վերականգնողական կենտրոն» պետական ոչ առևտրային կազմակերպության կանոնադրությունում համապատա</w:t>
      </w:r>
      <w:r>
        <w:rPr>
          <w:rFonts w:ascii="GHEA Grapalat" w:hAnsi="GHEA Grapalat" w:cs="Sylfaen"/>
          <w:lang w:val="en-US"/>
        </w:rPr>
        <w:t>սխան փոփոխությունների կատարումը և պետական գրանցումը:</w:t>
      </w:r>
    </w:p>
    <w:p w:rsidR="008B0590" w:rsidRPr="003167F4" w:rsidRDefault="008B0590" w:rsidP="008B0590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lastRenderedPageBreak/>
        <w:t>3.</w:t>
      </w:r>
      <w:r w:rsidRPr="003167F4">
        <w:rPr>
          <w:rFonts w:ascii="GHEA Grapalat" w:hAnsi="GHEA Grapalat" w:cs="Sylfaen"/>
          <w:lang w:val="en-US"/>
        </w:rPr>
        <w:t xml:space="preserve"> Սույն որոշումն ուժի մեջ է մտնում պաշտոնական հրապարակմանը հաջորդող տասներորդ օրվանից:</w:t>
      </w:r>
    </w:p>
    <w:p w:rsidR="008B0590" w:rsidRDefault="008B0590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D7344B" w:rsidRDefault="00D7344B" w:rsidP="008B0590">
      <w:pPr>
        <w:ind w:firstLine="720"/>
        <w:jc w:val="center"/>
        <w:rPr>
          <w:rFonts w:ascii="GHEA Grapalat" w:hAnsi="GHEA Grapalat"/>
          <w:lang w:val="en-US"/>
        </w:rPr>
      </w:pPr>
    </w:p>
    <w:p w:rsidR="008B0590" w:rsidRPr="003167F4" w:rsidRDefault="008B0590" w:rsidP="008B0590">
      <w:pPr>
        <w:ind w:firstLine="720"/>
        <w:jc w:val="center"/>
        <w:rPr>
          <w:rFonts w:ascii="GHEA Grapalat" w:hAnsi="GHEA Grapalat"/>
          <w:lang w:val="hy-AM"/>
        </w:rPr>
      </w:pPr>
      <w:r w:rsidRPr="003167F4">
        <w:rPr>
          <w:rFonts w:ascii="GHEA Grapalat" w:hAnsi="GHEA Grapalat"/>
          <w:lang w:val="hy-AM"/>
        </w:rPr>
        <w:t>ՀԻՄՆԱՎՈՐՈՒՄ</w:t>
      </w:r>
    </w:p>
    <w:p w:rsidR="008B0590" w:rsidRPr="003167F4" w:rsidRDefault="008B0590" w:rsidP="008B0590">
      <w:pPr>
        <w:ind w:firstLine="720"/>
        <w:jc w:val="center"/>
        <w:rPr>
          <w:rFonts w:ascii="GHEA Grapalat" w:hAnsi="GHEA Grapalat"/>
          <w:lang w:val="en-US"/>
        </w:rPr>
      </w:pPr>
      <w:r w:rsidRPr="003167F4">
        <w:rPr>
          <w:rFonts w:ascii="GHEA Grapalat" w:hAnsi="GHEA Grapalat"/>
          <w:lang w:val="hy-AM"/>
        </w:rPr>
        <w:t>«ՀՀ ԿԱՌԱՎԱՐՈՒԹՅԱՆ 2005 ԹՎԱԿԱՆԻ ՆՈՅԵՄԲԵՐԻ 03-Ի ԹԻՎ 2118-Ն ՈՐՈՇՄԱՆ ՄԵՋ ՓՈՓՈԽՈՒԹՅՈՒՆՆԵՐ ԿԱՏԱՐԵԼՈՒ ՄԱՍԻՆ» ՀՀ ԿԱՌԱՎԱՐՈՒԹՅԱՆ ՈՐՈՇՄԱՆ ԸՆԴՈՒՆՄԱՆ</w:t>
      </w:r>
    </w:p>
    <w:p w:rsidR="008B0590" w:rsidRPr="003167F4" w:rsidRDefault="008B0590" w:rsidP="008B0590">
      <w:pPr>
        <w:spacing w:line="360" w:lineRule="auto"/>
        <w:ind w:firstLine="720"/>
        <w:jc w:val="center"/>
        <w:rPr>
          <w:rFonts w:ascii="GHEA Grapalat" w:hAnsi="GHEA Grapalat"/>
          <w:lang w:val="en-US"/>
        </w:rPr>
      </w:pPr>
    </w:p>
    <w:p w:rsidR="008B0590" w:rsidRPr="003167F4" w:rsidRDefault="008B0590" w:rsidP="008B0590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167F4">
        <w:rPr>
          <w:rFonts w:ascii="GHEA Grapalat" w:hAnsi="GHEA Grapalat"/>
          <w:lang w:val="hy-AM"/>
        </w:rPr>
        <w:t>1. ԱՆՀՐԱԺԵՇՏՈՒԹՅՈՒՆԸ</w:t>
      </w:r>
    </w:p>
    <w:p w:rsidR="008B0590" w:rsidRPr="00C454FE" w:rsidRDefault="008B0590" w:rsidP="008B0590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3167F4">
        <w:rPr>
          <w:rFonts w:ascii="GHEA Grapalat" w:hAnsi="GHEA Grapalat"/>
          <w:lang w:val="hy-AM"/>
        </w:rPr>
        <w:t xml:space="preserve">«ՀՀ կառավարության 2005 թվականի նոյեմբերի 03-ի N 2118-Ն որոշման մեջ փոփոխություններ կատարելու մասին» ՀՀ կառավարության որոշման ընդունման անհրաժեշտությունը պայմանավորված է </w:t>
      </w:r>
      <w:r w:rsidRPr="003167F4">
        <w:rPr>
          <w:rFonts w:ascii="GHEA Grapalat" w:hAnsi="GHEA Grapalat"/>
          <w:color w:val="000000"/>
          <w:lang w:val="hy-AM"/>
        </w:rPr>
        <w:t>«</w:t>
      </w:r>
      <w:r w:rsidRPr="003167F4">
        <w:rPr>
          <w:rFonts w:ascii="GHEA Grapalat" w:hAnsi="GHEA Grapalat" w:cs="Sylfaen"/>
          <w:color w:val="000000"/>
          <w:lang w:val="hy-AM"/>
        </w:rPr>
        <w:t>Իրավախախտում կատարած անչափահասների հատուկ ստեղծագործական կենտրոն» պետական ոչ առևտրային կազմակերպության (այսուհետ` Կենտրոն) գործունեության նպատակների, առարկայի շրջանակների ընդլայնմամբ, և վերջիններով պայմանավորված` կենտրոնի անվանման համապատասխանեցմամբ:</w:t>
      </w:r>
    </w:p>
    <w:p w:rsidR="008B0590" w:rsidRPr="003167F4" w:rsidRDefault="008B0590" w:rsidP="008B0590">
      <w:pPr>
        <w:spacing w:line="360" w:lineRule="auto"/>
        <w:ind w:firstLine="720"/>
        <w:rPr>
          <w:rFonts w:ascii="GHEA Grapalat" w:hAnsi="GHEA Grapalat" w:cs="Sylfaen"/>
          <w:color w:val="000000"/>
          <w:lang w:val="hy-AM"/>
        </w:rPr>
      </w:pPr>
      <w:r w:rsidRPr="003167F4">
        <w:rPr>
          <w:rFonts w:ascii="GHEA Grapalat" w:hAnsi="GHEA Grapalat" w:cs="Sylfaen"/>
          <w:color w:val="000000"/>
          <w:lang w:val="hy-AM"/>
        </w:rPr>
        <w:t>2. ԸՆԹԱՑԻԿ ԻՐԱՎԻՃԱԿԸ ԵՎ ԽՆԴԻՐՆԵՐԸ</w:t>
      </w:r>
    </w:p>
    <w:p w:rsidR="008B0590" w:rsidRPr="003167F4" w:rsidRDefault="008B0590" w:rsidP="008B0590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3167F4">
        <w:rPr>
          <w:rFonts w:ascii="GHEA Grapalat" w:hAnsi="GHEA Grapalat"/>
          <w:lang w:val="hy-AM"/>
        </w:rPr>
        <w:t xml:space="preserve">Ներկայումս ՀՀ արդարադատության նախարարության ենթակայությամբ գործող պատիժների և հարկադրանքի այլ միջոցների կատարումն ապահովող կառույցների շրջանակում առկա չեն հանցագործություն կատարած անձանց հետ ուղղման և վերականգնողական աշխատանքների իրականացման ծրագրեր, արդյունավետ մոդելներ: Առկա չէ որևէ մարմին, որը լիազորված է իրավախախտների ուղղման և վերականգնման աշխատանքների և մասնագիտական ծրագրերի մշակման գործառույթով: Արդյունքում, ոչ ամբողջական և անարդյունավետ են իրավախախտների հետ իրականացվող մասնակի աշխատանքները, դրանք չունեն որևէ մասնագիտական հիմնավորվածություն, ապահովված չէ դրանց համակարգվածությունն ու շարունակականությունը, պատժի կրումից ազատվելուց հետո հանցագործություն կատարած անձանց  հասարակությունում վերաինտեգրվելու երաշխիքներն ու հնարավորությունները: </w:t>
      </w:r>
    </w:p>
    <w:p w:rsidR="008B0590" w:rsidRPr="003167F4" w:rsidRDefault="008B0590" w:rsidP="008B0590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3167F4">
        <w:rPr>
          <w:rFonts w:ascii="GHEA Grapalat" w:hAnsi="GHEA Grapalat"/>
          <w:lang w:val="hy-AM"/>
        </w:rPr>
        <w:t>Ընդհանուր առմամբ սոցիալական վերականգնողական ծրագրերը հանցագործություն կատարած անձանց վարքը փոխելու, ֆիզիկական և հոգեկան զարգացում ապահովելու, հանցածին հակումները նվազեցնելու համար իրականացվող միջոցառումներ են, որոնք մշակվում են  մասնագիտական գիտելիքի և մեթոդաբանական փորձի համադրությամբ` իրականացման և գնահատման հստակ չափորոշիչներով: Նշված չափորոշիչները գիտամեթոդական ու գործնական հիմնական ուղեցույցներ են, որոնք ապահովում են կատարված աշխատանքի հիմնավորվածությունը, արդյունավետությունը, շարունակա</w:t>
      </w:r>
      <w:r>
        <w:rPr>
          <w:rFonts w:ascii="GHEA Grapalat" w:hAnsi="GHEA Grapalat"/>
          <w:lang w:val="hy-AM"/>
        </w:rPr>
        <w:t>կ</w:t>
      </w:r>
      <w:r w:rsidRPr="003167F4">
        <w:rPr>
          <w:rFonts w:ascii="GHEA Grapalat" w:hAnsi="GHEA Grapalat"/>
          <w:lang w:val="hy-AM"/>
        </w:rPr>
        <w:t>անությունը, դրանց իրականացման ծախսերի և արդյունքի վերլուծությունը</w:t>
      </w:r>
      <w:r>
        <w:rPr>
          <w:rFonts w:ascii="GHEA Grapalat" w:hAnsi="GHEA Grapalat"/>
          <w:lang w:val="hy-AM"/>
        </w:rPr>
        <w:t>:</w:t>
      </w:r>
      <w:r w:rsidRPr="003167F4">
        <w:rPr>
          <w:rFonts w:ascii="GHEA Grapalat" w:hAnsi="GHEA Grapalat"/>
          <w:lang w:val="hy-AM"/>
        </w:rPr>
        <w:t xml:space="preserve"> Դրա շնորհիվ ծրագրերը ձեռք են բերում համակարգային և ինստիտուցիոնալ բնույթ, ինչպես նաև համադրելի են ոլորտի միջազգային չափորոշիչների հետ: Ծրագրերը ներառում են հոգեբանության, մանկավարժության, սոցիալական աշխատանքի, կրթության, մշակույթի, սպորտի, բնագավառներում անձի ֆիզիկական և հոգեկան զարգացմանն ուղղված գիտելիքներ, մեթոդներ և ձևեր: </w:t>
      </w:r>
    </w:p>
    <w:p w:rsidR="008B0590" w:rsidRPr="003167F4" w:rsidRDefault="008B0590" w:rsidP="008B0590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167F4">
        <w:rPr>
          <w:rFonts w:ascii="GHEA Grapalat" w:hAnsi="GHEA Grapalat"/>
          <w:lang w:val="hy-AM"/>
        </w:rPr>
        <w:t xml:space="preserve">Տարբեր կազմակերպությունների կողմից ոլորտում իրականացված դիտարկումներն ու գնահատականները բազմիցս անդրադարձել են խնդրին` կարևորելով հանցագործություն կատարած անձանց ուղղման և սոցիալական վերականգնման ծրագրերի իրականացումը: </w:t>
      </w:r>
    </w:p>
    <w:p w:rsidR="008B0590" w:rsidRPr="003167F4" w:rsidRDefault="008B0590" w:rsidP="008B0590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167F4">
        <w:rPr>
          <w:rFonts w:ascii="GHEA Grapalat" w:hAnsi="GHEA Grapalat"/>
          <w:lang w:val="hy-AM"/>
        </w:rPr>
        <w:t>Մասնավորապես՝ քրեակատարողական հիմնարկներից ազատված անչափահասների համար նման վերականգնողական աշխատանքների և համանուն կենտրոնների անհրաժեշտության մասին են փաստում ՄԱԿ-ի «Երեխայի իրավունքների հանձնաժողովի» 2013 թվականի ամփոփիչ դիտարկումներն՝ ուղղված անչափահասների արդարադատության համակարգի բարելավմանը: ՀՀ մարդու իրավունքների պաշտպանի Երեխաների իրավունքների վերաբերյալ 2012թ. զեկույցում ևս նշված է որ, առկա չէ հստակ քաղաքականություն, զարգացման ամրագրված ուղղություններ անչափահաս դատապարտյալների և կալանավորված անձանց ուղղման ու վերականգնման վերաբերյալ` որպես ինստիտուցիոնալ մոտեցում: Խոշտանգումների և անմարդկային կամ արժանապատվությունը նվաստացնող վերաբերմունքի կամ պատժի կանխարգելման եվրոպական կոմիտեի զեկույցներում (CPT), մշտապես առկա է հանցագործություն կատարած անձանց հետ ուղղիչ և սոցիալական վերականգնման, հասարակությունում նրանց վերաինտեգրման ծրագրերի անհրաժեշտության մասին դիտարկումները:</w:t>
      </w:r>
    </w:p>
    <w:p w:rsidR="008B0590" w:rsidRPr="003167F4" w:rsidRDefault="008B0590" w:rsidP="008B0590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167F4">
        <w:rPr>
          <w:rFonts w:ascii="GHEA Grapalat" w:hAnsi="GHEA Grapalat"/>
          <w:lang w:val="hy-AM"/>
        </w:rPr>
        <w:t>Այս առումով, միջազգային փորձը ցույց է տալիս, որ արդարադատության համակարգում իրավախախտների հետ աշխատանքում միասնական ծրագրերի իրականացումը կարևոր գործոն է ինչպես պատիժ կրող անձանց, այնպես էլ պատժից ազատված անձանց վերասոցիալականացման և հասարակությունում արդյունավետ վերաինտեգրման գործում, ինչն էլ նպաստում է կրկնահանցագործությունների կանխմանը և հասարակության անվտանգության բարձացմանը:</w:t>
      </w:r>
    </w:p>
    <w:p w:rsidR="008B0590" w:rsidRPr="00C454FE" w:rsidRDefault="008B0590" w:rsidP="008B0590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167F4">
        <w:rPr>
          <w:rFonts w:ascii="GHEA Grapalat" w:hAnsi="GHEA Grapalat"/>
          <w:lang w:val="hy-AM"/>
        </w:rPr>
        <w:t>Այսպիսով, սոցիալական վերականգնողական ծրագրերի մշակման և իրականացման անհրաժեշտությունը բխում է պատժի կատարման մարմինների գործունեության արդյունավետ կազմակերպման խնդիրներից, որը նպաստելով ոլորտում արդարադատության նախարարության լիազորությունների իրականացման արդյունավետության բարձրացմանը, ընդհանուր առմամբ կնպաստի քրեական արդարադատության համակարգում պատժի նպատակների առավել արդյունավետ իրագործմանը:</w:t>
      </w:r>
    </w:p>
    <w:p w:rsidR="008B0590" w:rsidRPr="003167F4" w:rsidRDefault="008B0590" w:rsidP="008B0590">
      <w:pPr>
        <w:spacing w:line="360" w:lineRule="auto"/>
        <w:ind w:firstLine="720"/>
        <w:rPr>
          <w:rFonts w:ascii="GHEA Grapalat" w:hAnsi="GHEA Grapalat"/>
          <w:lang w:val="hy-AM"/>
        </w:rPr>
      </w:pPr>
      <w:r w:rsidRPr="003167F4">
        <w:rPr>
          <w:rFonts w:ascii="GHEA Grapalat" w:hAnsi="GHEA Grapalat"/>
          <w:lang w:val="hy-AM"/>
        </w:rPr>
        <w:t>3. ԿԱՐԳԱՎՈՐՄԱՆ ՆՊԱՏԱԿԸ ԵՎ ԲՆՈՒՅԹԸ</w:t>
      </w:r>
    </w:p>
    <w:p w:rsidR="008B0590" w:rsidRPr="00C454FE" w:rsidRDefault="008B0590" w:rsidP="008B0590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Կարգավորման նպատակն է </w:t>
      </w:r>
      <w:r w:rsidRPr="006357D9">
        <w:rPr>
          <w:rFonts w:ascii="GHEA Grapalat" w:hAnsi="GHEA Grapalat"/>
          <w:lang w:val="hy-AM"/>
        </w:rPr>
        <w:t>«</w:t>
      </w:r>
      <w:r w:rsidRPr="003167F4">
        <w:rPr>
          <w:rFonts w:ascii="GHEA Grapalat" w:hAnsi="GHEA Grapalat"/>
          <w:lang w:val="hy-AM"/>
        </w:rPr>
        <w:t>Իրավախախտում կատարած անչափահասների</w:t>
      </w:r>
      <w:r>
        <w:rPr>
          <w:rFonts w:ascii="GHEA Grapalat" w:hAnsi="GHEA Grapalat"/>
          <w:lang w:val="hy-AM"/>
        </w:rPr>
        <w:t xml:space="preserve"> հատուկ ստեղծագործական կենտրոն</w:t>
      </w:r>
      <w:r w:rsidRPr="006357D9">
        <w:rPr>
          <w:rFonts w:ascii="GHEA Grapalat" w:hAnsi="GHEA Grapalat"/>
          <w:lang w:val="hy-AM"/>
        </w:rPr>
        <w:t>»</w:t>
      </w:r>
      <w:r w:rsidRPr="003167F4">
        <w:rPr>
          <w:rFonts w:ascii="GHEA Grapalat" w:hAnsi="GHEA Grapalat"/>
          <w:lang w:val="hy-AM"/>
        </w:rPr>
        <w:t xml:space="preserve"> ՊՈԱԿ-ի գործունեության նպատակների և առարկայի էական ընդլայնմամբ քրեական արդարադատության ոլորտում սոցիալական վերականգնողական ծրագրերի և չափորոշիչների մշակումը, սահմանումը, իրականացումը և ոլորտի զարգացումը:</w:t>
      </w:r>
    </w:p>
    <w:p w:rsidR="008B0590" w:rsidRPr="003167F4" w:rsidRDefault="008B0590" w:rsidP="008B0590">
      <w:pPr>
        <w:spacing w:line="360" w:lineRule="auto"/>
        <w:ind w:firstLine="720"/>
        <w:rPr>
          <w:rFonts w:ascii="GHEA Grapalat" w:hAnsi="GHEA Grapalat"/>
          <w:lang w:val="hy-AM"/>
        </w:rPr>
      </w:pPr>
      <w:r w:rsidRPr="003167F4">
        <w:rPr>
          <w:rFonts w:ascii="GHEA Grapalat" w:hAnsi="GHEA Grapalat"/>
          <w:lang w:val="hy-AM"/>
        </w:rPr>
        <w:t>4. ԱԿՆԿԱԼՎՈՂ ԱՐԴՅՈՒՆՔԸ</w:t>
      </w:r>
    </w:p>
    <w:p w:rsidR="008B0590" w:rsidRPr="003167F4" w:rsidRDefault="008B0590" w:rsidP="008B0590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167F4">
        <w:rPr>
          <w:rFonts w:ascii="GHEA Grapalat" w:hAnsi="GHEA Grapalat"/>
          <w:lang w:val="hy-AM"/>
        </w:rPr>
        <w:t>1)</w:t>
      </w:r>
      <w:r w:rsidRPr="006357D9">
        <w:rPr>
          <w:rFonts w:ascii="GHEA Grapalat" w:hAnsi="GHEA Grapalat"/>
          <w:lang w:val="hy-AM"/>
        </w:rPr>
        <w:t xml:space="preserve"> </w:t>
      </w:r>
      <w:r w:rsidRPr="003167F4">
        <w:rPr>
          <w:rFonts w:ascii="GHEA Grapalat" w:hAnsi="GHEA Grapalat"/>
          <w:lang w:val="hy-AM"/>
        </w:rPr>
        <w:t>Քրեական արդարադատության ոլորտում իրավախախտում կատարած անձանց ուղղման և սոցիալական վերականգնման, կրկնահանցագործությունների կանխման մասնագիտական վերականգնողական ծրագրեր մշակող և իրականացնող պետական կառույցի,միասնական չափորոշիչների, ծրագրերի առկայություն,</w:t>
      </w:r>
    </w:p>
    <w:p w:rsidR="008B0590" w:rsidRPr="003167F4" w:rsidRDefault="008B0590" w:rsidP="008B059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3167F4">
        <w:rPr>
          <w:rFonts w:ascii="GHEA Grapalat" w:hAnsi="GHEA Grapalat"/>
          <w:color w:val="000000"/>
          <w:shd w:val="clear" w:color="auto" w:fill="FFFFFF"/>
          <w:lang w:val="hy-AM"/>
        </w:rPr>
        <w:t>2)</w:t>
      </w:r>
      <w:r w:rsidRPr="006357D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167F4">
        <w:rPr>
          <w:rFonts w:ascii="GHEA Grapalat" w:hAnsi="GHEA Grapalat"/>
          <w:color w:val="000000"/>
          <w:shd w:val="clear" w:color="auto" w:fill="FFFFFF"/>
          <w:lang w:val="hy-AM"/>
        </w:rPr>
        <w:t>պատժից ազատված անձանց հասարակությունում վերաինտեգրման երաշխիքների և հնարավորությունների առկայություն,</w:t>
      </w:r>
    </w:p>
    <w:p w:rsidR="008B0590" w:rsidRPr="003167F4" w:rsidRDefault="008B0590" w:rsidP="008B059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3167F4">
        <w:rPr>
          <w:rFonts w:ascii="GHEA Grapalat" w:hAnsi="GHEA Grapalat"/>
          <w:color w:val="000000"/>
          <w:shd w:val="clear" w:color="auto" w:fill="FFFFFF"/>
          <w:lang w:val="hy-AM"/>
        </w:rPr>
        <w:t>3)</w:t>
      </w:r>
      <w:r w:rsidRPr="006357D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167F4">
        <w:rPr>
          <w:rFonts w:ascii="GHEA Grapalat" w:hAnsi="GHEA Grapalat" w:cs="Sylfaen"/>
          <w:lang w:val="hy-AM"/>
        </w:rPr>
        <w:t>պատիժների կատարման համակարգի մեթոդաբանական և վիճակագրական միասնական շտեմարանների ստեղծում և զարգացում,</w:t>
      </w:r>
    </w:p>
    <w:p w:rsidR="008B0590" w:rsidRPr="003167F4" w:rsidRDefault="008B0590" w:rsidP="008B059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3167F4">
        <w:rPr>
          <w:rFonts w:ascii="GHEA Grapalat" w:hAnsi="GHEA Grapalat"/>
          <w:color w:val="000000"/>
          <w:shd w:val="clear" w:color="auto" w:fill="FFFFFF"/>
          <w:lang w:val="hy-AM"/>
        </w:rPr>
        <w:t>4)</w:t>
      </w:r>
      <w:r w:rsidRPr="006357D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167F4">
        <w:rPr>
          <w:rFonts w:ascii="GHEA Grapalat" w:hAnsi="GHEA Grapalat"/>
          <w:color w:val="000000"/>
          <w:shd w:val="clear" w:color="auto" w:fill="FFFFFF"/>
          <w:lang w:val="hy-AM"/>
        </w:rPr>
        <w:t>պատժի և հարկադրանքի այլ միջոցների կիրառման և կատարման ոլորտում պետական լիազոր մարմինների գործունեության մասնագիտական և մեթոդաբանական աջակցություն և գործունեության արդյունավետության բարձրացում,</w:t>
      </w:r>
    </w:p>
    <w:p w:rsidR="008B0590" w:rsidRPr="00791E5B" w:rsidRDefault="008B0590" w:rsidP="008B0590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167F4">
        <w:rPr>
          <w:rFonts w:ascii="GHEA Grapalat" w:hAnsi="GHEA Grapalat" w:cs="Sylfaen"/>
          <w:lang w:val="hy-AM"/>
        </w:rPr>
        <w:t>5)</w:t>
      </w:r>
      <w:r w:rsidRPr="006357D9">
        <w:rPr>
          <w:rFonts w:ascii="GHEA Grapalat" w:hAnsi="GHEA Grapalat" w:cs="Sylfaen"/>
          <w:lang w:val="hy-AM"/>
        </w:rPr>
        <w:t xml:space="preserve"> </w:t>
      </w:r>
      <w:r w:rsidRPr="003167F4">
        <w:rPr>
          <w:rFonts w:ascii="GHEA Grapalat" w:hAnsi="GHEA Grapalat" w:cs="Sylfaen"/>
          <w:lang w:val="hy-AM"/>
        </w:rPr>
        <w:t xml:space="preserve">գործունեությամբ պայմանավորված` համապատասխան անվանման առկայություն: </w:t>
      </w:r>
    </w:p>
    <w:p w:rsidR="008B0590" w:rsidRPr="00791E5B" w:rsidRDefault="008B0590" w:rsidP="008B0590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8B0590" w:rsidRPr="006357D9" w:rsidRDefault="008B0590" w:rsidP="008B0590">
      <w:pPr>
        <w:jc w:val="center"/>
        <w:rPr>
          <w:rFonts w:ascii="GHEA Grapalat" w:hAnsi="GHEA Grapalat" w:cs="Sylfaen"/>
          <w:lang w:val="hy-AM"/>
        </w:rPr>
      </w:pPr>
    </w:p>
    <w:p w:rsidR="008B0590" w:rsidRPr="003167F4" w:rsidRDefault="008B0590" w:rsidP="008B0590">
      <w:pPr>
        <w:jc w:val="center"/>
        <w:rPr>
          <w:rFonts w:ascii="GHEA Grapalat" w:hAnsi="GHEA Grapalat"/>
          <w:lang w:val="hy-AM"/>
        </w:rPr>
      </w:pPr>
      <w:r w:rsidRPr="003167F4">
        <w:rPr>
          <w:rFonts w:ascii="GHEA Grapalat" w:hAnsi="GHEA Grapalat" w:cs="Sylfaen"/>
          <w:lang w:val="hy-AM"/>
        </w:rPr>
        <w:t>ՏԵՂԵԿԱՆՔ</w:t>
      </w:r>
    </w:p>
    <w:p w:rsidR="008B0590" w:rsidRPr="003167F4" w:rsidRDefault="008B0590" w:rsidP="008B0590">
      <w:pPr>
        <w:ind w:firstLine="720"/>
        <w:jc w:val="center"/>
        <w:rPr>
          <w:rFonts w:ascii="GHEA Grapalat" w:hAnsi="GHEA Grapalat"/>
          <w:lang w:val="hy-AM"/>
        </w:rPr>
      </w:pPr>
      <w:r w:rsidRPr="003167F4">
        <w:rPr>
          <w:rFonts w:ascii="GHEA Grapalat" w:hAnsi="GHEA Grapalat"/>
          <w:lang w:val="hy-AM"/>
        </w:rPr>
        <w:t>«ՀՀ ԿԱՌԱՎԱՐՈՒԹՅԱՆ 2005 ԹՎԱԿԱՆԻ ՆՈՅԵՄԲԵՐԻ 03-Ի N 2118-Ն ՈՐՈՇՄԱՆ ՄԵՋ ՓՈՓՈԽՈՒԹՅՈՒՆՆԵՐ ԿԱՏԱՐԵԼՈՒ ՄԱՍԻՆ» ՀՀ ԿԱՌԱՎԱՐՈՒԹՅԱՆ ՈՐՈՇՄԱՆ ԸՆԴՈՒՆՄԱՆ ԱՌՆՉՈՒԹՅԱՄԲ ԱՅԼ ԻՐԱՎԱԿԱՆ ԱԿՏԵՐՈՒՄ ՓՈՓՈԽՈՒԹՅՈՒՆՆԵՐԻ ԿԱՄ</w:t>
      </w:r>
      <w:r w:rsidRPr="003167F4">
        <w:rPr>
          <w:rFonts w:ascii="GHEA Grapalat" w:hAnsi="GHEA Grapalat" w:cs="Sylfaen"/>
          <w:lang w:val="hy-AM"/>
        </w:rPr>
        <w:t xml:space="preserve"> ԴՐԱՆՑ ԸՆԴՈՒՆՄԱՆ ԱՆՀՐԱԺԵՇՏՈՒԹՅԱՆ ԲԱՑԱԿԱՅՈՒԹՅԱՆ ՄԱՍԻՆ</w:t>
      </w:r>
    </w:p>
    <w:p w:rsidR="008B0590" w:rsidRPr="003167F4" w:rsidRDefault="008B0590" w:rsidP="008B0590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8B0590" w:rsidRPr="003167F4" w:rsidRDefault="008B0590" w:rsidP="008B0590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167F4">
        <w:rPr>
          <w:rFonts w:ascii="GHEA Grapalat" w:hAnsi="GHEA Grapalat"/>
          <w:lang w:val="hy-AM"/>
        </w:rPr>
        <w:t>«ՀՀ կառավարության 2005 թվականի նոյեմբերի 03-ի N 2118-Ն որոշման մեջ փոփոխություններ կատարելու մասին» ՀՀ կառավարության որոշման ընդունման առնչությամբ անհրաժեշտություն է առաջանում համապատասխան փոփոխություններ և լրացումներ կատարել ՀՀ արդարադատության նախարարի 2012 թվականի օգոստոսի 02-ի թիվ 145-Ա հրամանում:</w:t>
      </w:r>
    </w:p>
    <w:p w:rsidR="008B0590" w:rsidRPr="003167F4" w:rsidRDefault="008B0590" w:rsidP="008B0590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8B0590" w:rsidRPr="003167F4" w:rsidRDefault="008B0590" w:rsidP="008B0590">
      <w:pPr>
        <w:jc w:val="center"/>
        <w:rPr>
          <w:rFonts w:ascii="GHEA Grapalat" w:hAnsi="GHEA Grapalat"/>
          <w:lang w:val="hy-AM"/>
        </w:rPr>
      </w:pPr>
      <w:r w:rsidRPr="003167F4">
        <w:rPr>
          <w:rFonts w:ascii="GHEA Grapalat" w:hAnsi="GHEA Grapalat" w:cs="Sylfaen"/>
          <w:lang w:val="hy-AM"/>
        </w:rPr>
        <w:t>ՏԵՂԵԿԱՆՔ</w:t>
      </w:r>
    </w:p>
    <w:p w:rsidR="008B0590" w:rsidRPr="003167F4" w:rsidRDefault="008B0590" w:rsidP="008B0590">
      <w:pPr>
        <w:ind w:firstLine="720"/>
        <w:jc w:val="center"/>
        <w:rPr>
          <w:rFonts w:ascii="GHEA Grapalat" w:hAnsi="GHEA Grapalat"/>
          <w:lang w:val="hy-AM"/>
        </w:rPr>
      </w:pPr>
      <w:r w:rsidRPr="003167F4">
        <w:rPr>
          <w:rFonts w:ascii="GHEA Grapalat" w:hAnsi="GHEA Grapalat"/>
          <w:lang w:val="hy-AM"/>
        </w:rPr>
        <w:t>«ՀՀ ԿԱՌԱՎԱՐՈՒԹՅԱՆ 2005 ԹՎԱԿԱՆԻ ՆՈՅԵՄԲԵՐԻ 03-Ի N 2118-Ն ՈՐՈՇՄԱՆ ՄԵՋ ՓՈՓՈԽՈՒԹՅՈՒՆՆԵՐ ԿԱՏԱՐԵԼՈՒ ՄԱՍԻՆ» ՀՀ ԿԱՌԱՎԱՐՈՒԹՅԱՆ ՈՐՈՇՄԱՆ ԸՆԴՈՒՆԵԼՈՒ</w:t>
      </w:r>
      <w:r w:rsidRPr="003167F4">
        <w:rPr>
          <w:rFonts w:ascii="GHEA Grapalat" w:hAnsi="GHEA Grapalat" w:cs="Sylfaen"/>
          <w:lang w:val="hy-AM"/>
        </w:rPr>
        <w:t xml:space="preserve"> ԴԵՊՔՈՒՄ ՊԵՏԱԿԱՆ ԿԱՄ ՏԵՂԱԿԱՆ ԻՆՔՆԱԿԱՌԱՎԱՐՄԱՆ ՄԱՐՄԻՆՆԵՐԻ ՊԵՏԱԿԱՆ ԿԱՄ ՏԵՂԱԿԱՆ ԻՆՔՆԱԿԱՌԱՎԱՐՄԱՆ ՄԱՐՄԻՆՆԵՐԻ ԲՅՈՒՋԵՆԵՐՈՒՄ ԾԱԽՍԵՐԻ և ԵԿԱՄՈՒՏՆԵՐԻ ԷԱԿԱՆ ԱՎԵԼԱՑՈՒՄՆԵՐԻ ԿԱՄ ՆՎԱԶԵՑՈՒՄՆԵՐԻ ՄԱՍԻՆ</w:t>
      </w:r>
    </w:p>
    <w:p w:rsidR="008B0590" w:rsidRPr="003167F4" w:rsidRDefault="008B0590" w:rsidP="008B0590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8B0590" w:rsidRPr="00B01008" w:rsidRDefault="008B0590" w:rsidP="008B0590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167F4">
        <w:rPr>
          <w:rFonts w:ascii="GHEA Grapalat" w:hAnsi="GHEA Grapalat"/>
          <w:lang w:val="hy-AM"/>
        </w:rPr>
        <w:t>«ՀՀ կառավարության 2005 թվականի նոյեմբերի 03-ի N 2118-Ն որոշման մեջ փոփոխություններ կատարելու մասին» ՀՀ կառավարության որոշումն ըն</w:t>
      </w:r>
      <w:r w:rsidRPr="003167F4">
        <w:rPr>
          <w:rFonts w:ascii="GHEA Grapalat" w:hAnsi="GHEA Grapalat" w:cs="Sylfaen"/>
          <w:lang w:val="hy-AM"/>
        </w:rPr>
        <w:t>դունելու դեպքում պետական կամ տեղական ինքնակառավարման մարմինների բյուջեներում ծախսերի և եկամուտների էական ավելացումներ կամ նվազեցումներ չեն նախատեսվում</w:t>
      </w:r>
      <w:r w:rsidRPr="003167F4">
        <w:rPr>
          <w:rFonts w:ascii="GHEA Grapalat" w:hAnsi="GHEA Grapalat" w:cs="Times Armenian"/>
          <w:lang w:val="hy-AM"/>
        </w:rPr>
        <w:t>:</w:t>
      </w:r>
    </w:p>
    <w:p w:rsidR="008B0590" w:rsidRPr="00B01008" w:rsidRDefault="008B0590" w:rsidP="008B0590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tbl>
      <w:tblPr>
        <w:tblW w:w="5291" w:type="pct"/>
        <w:tblInd w:w="-56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53"/>
        <w:gridCol w:w="1197"/>
        <w:gridCol w:w="1722"/>
        <w:gridCol w:w="1730"/>
        <w:gridCol w:w="1730"/>
        <w:gridCol w:w="1730"/>
      </w:tblGrid>
      <w:tr w:rsidR="008B0590" w:rsidRPr="008B4403" w:rsidTr="00E969C4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spacing w:before="100" w:beforeAutospacing="1" w:after="100" w:afterAutospacing="1"/>
              <w:rPr>
                <w:rFonts w:ascii="GHEA Grapalat" w:hAnsi="GHEA Grapalat"/>
                <w:bCs/>
                <w:sz w:val="22"/>
                <w:szCs w:val="22"/>
                <w:lang w:val="hy-AM" w:eastAsia="lv-LV"/>
              </w:rPr>
            </w:pPr>
          </w:p>
        </w:tc>
      </w:tr>
      <w:tr w:rsidR="008B0590" w:rsidRPr="0077079A" w:rsidTr="00E969C4">
        <w:tc>
          <w:tcPr>
            <w:tcW w:w="104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0590" w:rsidRPr="0077079A" w:rsidRDefault="008B0590" w:rsidP="00E969C4">
            <w:pPr>
              <w:spacing w:before="100" w:beforeAutospacing="1" w:after="100" w:afterAutospacing="1"/>
              <w:rPr>
                <w:rFonts w:ascii="GHEA Grapalat" w:hAnsi="GHEA Grapalat"/>
                <w:bCs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bCs/>
                <w:sz w:val="22"/>
                <w:szCs w:val="22"/>
                <w:lang w:eastAsia="lv-LV"/>
              </w:rPr>
              <w:t xml:space="preserve">Ցուցանիշներ </w:t>
            </w:r>
          </w:p>
        </w:tc>
        <w:tc>
          <w:tcPr>
            <w:tcW w:w="1422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0590" w:rsidRPr="0077079A" w:rsidRDefault="008B0590" w:rsidP="00E969C4">
            <w:pPr>
              <w:spacing w:before="100" w:beforeAutospacing="1" w:after="100" w:afterAutospacing="1"/>
              <w:rPr>
                <w:rFonts w:ascii="GHEA Grapalat" w:hAnsi="GHEA Grapalat"/>
                <w:bCs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bCs/>
                <w:sz w:val="22"/>
                <w:szCs w:val="22"/>
                <w:lang w:eastAsia="lv-LV"/>
              </w:rPr>
              <w:t xml:space="preserve">ընթացիկ 2014 տարի </w:t>
            </w:r>
          </w:p>
        </w:tc>
        <w:tc>
          <w:tcPr>
            <w:tcW w:w="2529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0590" w:rsidRPr="0077079A" w:rsidRDefault="008B0590" w:rsidP="00E969C4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Հաջորդող 3 տարիները </w:t>
            </w:r>
          </w:p>
        </w:tc>
      </w:tr>
      <w:tr w:rsidR="008B0590" w:rsidRPr="0077079A" w:rsidTr="00E969C4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0590" w:rsidRPr="0077079A" w:rsidRDefault="008B0590" w:rsidP="00E969C4">
            <w:pPr>
              <w:rPr>
                <w:rFonts w:ascii="GHEA Grapalat" w:hAnsi="GHEA Grapalat"/>
                <w:bCs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0590" w:rsidRPr="0077079A" w:rsidRDefault="008B0590" w:rsidP="00E969C4">
            <w:pPr>
              <w:rPr>
                <w:rFonts w:ascii="GHEA Grapalat" w:hAnsi="GHEA Grapalat"/>
                <w:bCs/>
                <w:sz w:val="22"/>
                <w:szCs w:val="22"/>
                <w:lang w:eastAsia="lv-LV"/>
              </w:rPr>
            </w:pPr>
          </w:p>
        </w:tc>
        <w:tc>
          <w:tcPr>
            <w:tcW w:w="8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0590" w:rsidRPr="0077079A" w:rsidRDefault="008B0590" w:rsidP="00E969C4">
            <w:pPr>
              <w:spacing w:before="100" w:beforeAutospacing="1" w:after="100" w:afterAutospacing="1"/>
              <w:rPr>
                <w:rFonts w:ascii="GHEA Grapalat" w:hAnsi="GHEA Grapalat"/>
                <w:bCs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bCs/>
                <w:sz w:val="22"/>
                <w:szCs w:val="22"/>
                <w:lang w:eastAsia="lv-LV"/>
              </w:rPr>
              <w:t xml:space="preserve">2015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0590" w:rsidRPr="0077079A" w:rsidRDefault="008B0590" w:rsidP="00E969C4">
            <w:pPr>
              <w:spacing w:before="100" w:beforeAutospacing="1" w:after="100" w:afterAutospacing="1"/>
              <w:rPr>
                <w:rFonts w:ascii="GHEA Grapalat" w:hAnsi="GHEA Grapalat"/>
                <w:bCs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bCs/>
                <w:sz w:val="22"/>
                <w:szCs w:val="22"/>
                <w:lang w:eastAsia="lv-LV"/>
              </w:rPr>
              <w:t>2016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0590" w:rsidRPr="0077079A" w:rsidRDefault="008B0590" w:rsidP="00E969C4">
            <w:pPr>
              <w:spacing w:before="100" w:beforeAutospacing="1" w:after="100" w:afterAutospacing="1"/>
              <w:rPr>
                <w:rFonts w:ascii="GHEA Grapalat" w:hAnsi="GHEA Grapalat"/>
                <w:bCs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bCs/>
                <w:sz w:val="22"/>
                <w:szCs w:val="22"/>
                <w:lang w:eastAsia="lv-LV"/>
              </w:rPr>
              <w:t>2017</w:t>
            </w:r>
          </w:p>
        </w:tc>
      </w:tr>
      <w:tr w:rsidR="008B0590" w:rsidRPr="008B4403" w:rsidTr="00E969C4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0590" w:rsidRPr="0077079A" w:rsidRDefault="008B0590" w:rsidP="00E969C4">
            <w:pPr>
              <w:rPr>
                <w:rFonts w:ascii="GHEA Grapalat" w:hAnsi="GHEA Grapalat"/>
                <w:bCs/>
                <w:sz w:val="22"/>
                <w:szCs w:val="22"/>
                <w:lang w:eastAsia="lv-LV"/>
              </w:rPr>
            </w:pPr>
          </w:p>
        </w:tc>
        <w:tc>
          <w:tcPr>
            <w:tcW w:w="5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0590" w:rsidRPr="0077079A" w:rsidRDefault="008B0590" w:rsidP="00E969C4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Ըստ 2014թ. պետական բյուջեի  </w:t>
            </w:r>
          </w:p>
        </w:tc>
        <w:tc>
          <w:tcPr>
            <w:tcW w:w="8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0590" w:rsidRPr="008B0590" w:rsidRDefault="008B0590" w:rsidP="00E969C4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փոփոխությունը</w:t>
            </w:r>
            <w:r w:rsidRPr="008B0590">
              <w:rPr>
                <w:rFonts w:ascii="GHEA Grapalat" w:hAnsi="GHEA Grapalat"/>
                <w:sz w:val="22"/>
                <w:szCs w:val="22"/>
                <w:lang w:val="en-US" w:eastAsia="lv-LV"/>
              </w:rPr>
              <w:t xml:space="preserve"> 2014</w:t>
            </w: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թ</w:t>
            </w:r>
            <w:r w:rsidRPr="008B0590">
              <w:rPr>
                <w:rFonts w:ascii="GHEA Grapalat" w:hAnsi="GHEA Grapalat"/>
                <w:sz w:val="22"/>
                <w:szCs w:val="22"/>
                <w:lang w:val="en-US" w:eastAsia="lv-LV"/>
              </w:rPr>
              <w:t xml:space="preserve">. </w:t>
            </w: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պետական</w:t>
            </w:r>
            <w:r w:rsidRPr="008B0590">
              <w:rPr>
                <w:rFonts w:ascii="GHEA Grapalat" w:hAnsi="GHEA Grapalat"/>
                <w:sz w:val="22"/>
                <w:szCs w:val="22"/>
                <w:lang w:val="en-US" w:eastAsia="lv-LV"/>
              </w:rPr>
              <w:t xml:space="preserve"> </w:t>
            </w: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բյուջեի</w:t>
            </w:r>
            <w:r w:rsidRPr="008B0590">
              <w:rPr>
                <w:rFonts w:ascii="GHEA Grapalat" w:hAnsi="GHEA Grapalat"/>
                <w:sz w:val="22"/>
                <w:szCs w:val="22"/>
                <w:lang w:val="en-US" w:eastAsia="lv-LV"/>
              </w:rPr>
              <w:t xml:space="preserve">  </w:t>
            </w: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համեմատ</w:t>
            </w:r>
          </w:p>
        </w:tc>
        <w:tc>
          <w:tcPr>
            <w:tcW w:w="8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0590" w:rsidRPr="008B0590" w:rsidRDefault="008B0590" w:rsidP="00E969C4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Փոփոխությունն</w:t>
            </w:r>
            <w:r w:rsidRPr="008B0590">
              <w:rPr>
                <w:rFonts w:ascii="GHEA Grapalat" w:hAnsi="GHEA Grapalat"/>
                <w:sz w:val="22"/>
                <w:szCs w:val="22"/>
                <w:lang w:val="en-US" w:eastAsia="lv-LV"/>
              </w:rPr>
              <w:t xml:space="preserve"> </w:t>
            </w: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ընթացիկ</w:t>
            </w:r>
            <w:r w:rsidRPr="008B0590">
              <w:rPr>
                <w:rFonts w:ascii="GHEA Grapalat" w:hAnsi="GHEA Grapalat"/>
                <w:sz w:val="22"/>
                <w:szCs w:val="22"/>
                <w:lang w:val="en-US" w:eastAsia="lv-LV"/>
              </w:rPr>
              <w:t xml:space="preserve"> </w:t>
            </w: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տարվա</w:t>
            </w:r>
            <w:r w:rsidRPr="008B0590">
              <w:rPr>
                <w:rFonts w:ascii="GHEA Grapalat" w:hAnsi="GHEA Grapalat"/>
                <w:sz w:val="22"/>
                <w:szCs w:val="22"/>
                <w:lang w:val="en-US" w:eastAsia="lv-LV"/>
              </w:rPr>
              <w:t xml:space="preserve"> </w:t>
            </w: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համեմատ</w:t>
            </w:r>
            <w:r w:rsidRPr="008B0590">
              <w:rPr>
                <w:rFonts w:ascii="GHEA Grapalat" w:hAnsi="GHEA Grapalat"/>
                <w:sz w:val="22"/>
                <w:szCs w:val="22"/>
                <w:lang w:val="en-US" w:eastAsia="lv-LV"/>
              </w:rPr>
              <w:t xml:space="preserve"> (n)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0590" w:rsidRPr="008B0590" w:rsidRDefault="008B0590" w:rsidP="00E969C4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Փոփոխությունն</w:t>
            </w:r>
            <w:r w:rsidRPr="008B0590">
              <w:rPr>
                <w:rFonts w:ascii="GHEA Grapalat" w:hAnsi="GHEA Grapalat"/>
                <w:sz w:val="22"/>
                <w:szCs w:val="22"/>
                <w:lang w:val="en-US" w:eastAsia="lv-LV"/>
              </w:rPr>
              <w:t xml:space="preserve"> </w:t>
            </w: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ընթացիկ</w:t>
            </w:r>
            <w:r w:rsidRPr="008B0590">
              <w:rPr>
                <w:rFonts w:ascii="GHEA Grapalat" w:hAnsi="GHEA Grapalat"/>
                <w:sz w:val="22"/>
                <w:szCs w:val="22"/>
                <w:lang w:val="en-US" w:eastAsia="lv-LV"/>
              </w:rPr>
              <w:t xml:space="preserve"> </w:t>
            </w: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տարվա</w:t>
            </w:r>
            <w:r w:rsidRPr="008B0590">
              <w:rPr>
                <w:rFonts w:ascii="GHEA Grapalat" w:hAnsi="GHEA Grapalat"/>
                <w:sz w:val="22"/>
                <w:szCs w:val="22"/>
                <w:lang w:val="en-US" w:eastAsia="lv-LV"/>
              </w:rPr>
              <w:t xml:space="preserve"> </w:t>
            </w: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համեմատ</w:t>
            </w:r>
            <w:r w:rsidRPr="008B0590">
              <w:rPr>
                <w:rFonts w:ascii="GHEA Grapalat" w:hAnsi="GHEA Grapalat"/>
                <w:sz w:val="22"/>
                <w:szCs w:val="22"/>
                <w:lang w:val="en-US" w:eastAsia="lv-LV"/>
              </w:rPr>
              <w:t xml:space="preserve"> (n)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0590" w:rsidRPr="008B0590" w:rsidRDefault="008B0590" w:rsidP="00E969C4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Փոփոխությունն</w:t>
            </w:r>
            <w:r w:rsidRPr="008B0590">
              <w:rPr>
                <w:rFonts w:ascii="GHEA Grapalat" w:hAnsi="GHEA Grapalat"/>
                <w:sz w:val="22"/>
                <w:szCs w:val="22"/>
                <w:lang w:val="en-US" w:eastAsia="lv-LV"/>
              </w:rPr>
              <w:t xml:space="preserve"> </w:t>
            </w: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ընթացիկ</w:t>
            </w:r>
            <w:r w:rsidRPr="008B0590">
              <w:rPr>
                <w:rFonts w:ascii="GHEA Grapalat" w:hAnsi="GHEA Grapalat"/>
                <w:sz w:val="22"/>
                <w:szCs w:val="22"/>
                <w:lang w:val="en-US" w:eastAsia="lv-LV"/>
              </w:rPr>
              <w:t xml:space="preserve"> </w:t>
            </w: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տարվա</w:t>
            </w:r>
            <w:r w:rsidRPr="008B0590">
              <w:rPr>
                <w:rFonts w:ascii="GHEA Grapalat" w:hAnsi="GHEA Grapalat"/>
                <w:sz w:val="22"/>
                <w:szCs w:val="22"/>
                <w:lang w:val="en-US" w:eastAsia="lv-LV"/>
              </w:rPr>
              <w:t xml:space="preserve"> </w:t>
            </w: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համեմատ</w:t>
            </w:r>
            <w:r w:rsidRPr="008B0590">
              <w:rPr>
                <w:rFonts w:ascii="GHEA Grapalat" w:hAnsi="GHEA Grapalat"/>
                <w:sz w:val="22"/>
                <w:szCs w:val="22"/>
                <w:lang w:val="en-US" w:eastAsia="lv-LV"/>
              </w:rPr>
              <w:t xml:space="preserve"> (n) </w:t>
            </w:r>
          </w:p>
        </w:tc>
      </w:tr>
      <w:tr w:rsidR="008B0590" w:rsidRPr="0077079A" w:rsidTr="00E969C4">
        <w:trPr>
          <w:trHeight w:val="170"/>
        </w:trPr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0590" w:rsidRPr="0077079A" w:rsidRDefault="008B0590" w:rsidP="00E969C4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1 </w:t>
            </w:r>
          </w:p>
        </w:tc>
        <w:tc>
          <w:tcPr>
            <w:tcW w:w="5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0590" w:rsidRPr="0077079A" w:rsidRDefault="008B0590" w:rsidP="00E969C4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2 </w:t>
            </w:r>
          </w:p>
        </w:tc>
        <w:tc>
          <w:tcPr>
            <w:tcW w:w="8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0590" w:rsidRPr="0077079A" w:rsidRDefault="008B0590" w:rsidP="00E969C4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3 </w:t>
            </w:r>
          </w:p>
        </w:tc>
        <w:tc>
          <w:tcPr>
            <w:tcW w:w="8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0590" w:rsidRPr="0077079A" w:rsidRDefault="008B0590" w:rsidP="00E969C4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0590" w:rsidRPr="0077079A" w:rsidRDefault="008B0590" w:rsidP="00E969C4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0590" w:rsidRPr="0077079A" w:rsidRDefault="008B0590" w:rsidP="00E969C4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6 </w:t>
            </w:r>
          </w:p>
        </w:tc>
      </w:tr>
      <w:tr w:rsidR="008B0590" w:rsidRPr="0077079A" w:rsidTr="00E969C4">
        <w:trPr>
          <w:trHeight w:val="387"/>
        </w:trPr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1.Եկամուտներ</w:t>
            </w:r>
          </w:p>
        </w:tc>
        <w:tc>
          <w:tcPr>
            <w:tcW w:w="5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8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8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</w:tr>
      <w:tr w:rsidR="008B0590" w:rsidRPr="0077079A" w:rsidTr="00E969C4"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5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8B0590" w:rsidRPr="0077079A" w:rsidTr="00E969C4"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1.2. ՏԻՄ եկամուտներ </w:t>
            </w:r>
          </w:p>
        </w:tc>
        <w:tc>
          <w:tcPr>
            <w:tcW w:w="5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8B0590" w:rsidRPr="0077079A" w:rsidTr="00E969C4"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2. Ծախսեր</w:t>
            </w:r>
          </w:p>
        </w:tc>
        <w:tc>
          <w:tcPr>
            <w:tcW w:w="5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8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8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</w:tr>
      <w:tr w:rsidR="008B0590" w:rsidRPr="0077079A" w:rsidTr="00E969C4"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2.1. պետական բյուջեի ծախսեր</w:t>
            </w:r>
          </w:p>
        </w:tc>
        <w:tc>
          <w:tcPr>
            <w:tcW w:w="5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8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8B0590" w:rsidRPr="0077079A" w:rsidTr="00E969C4"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2.2. ՏԻՄ բյուջեի ծախսեր </w:t>
            </w:r>
          </w:p>
        </w:tc>
        <w:tc>
          <w:tcPr>
            <w:tcW w:w="5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8B0590" w:rsidRPr="0077079A" w:rsidTr="00E969C4"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3. Ֆիսկալ ազդեցության գնահատական</w:t>
            </w:r>
          </w:p>
        </w:tc>
        <w:tc>
          <w:tcPr>
            <w:tcW w:w="5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8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8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</w:tr>
      <w:tr w:rsidR="008B0590" w:rsidRPr="0077079A" w:rsidTr="00E969C4"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3.1. պետական բյուջե </w:t>
            </w:r>
          </w:p>
        </w:tc>
        <w:tc>
          <w:tcPr>
            <w:tcW w:w="5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8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8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8B0590" w:rsidRPr="0077079A" w:rsidTr="00E969C4"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3.3. ՏԻՄ բյուջե </w:t>
            </w:r>
          </w:p>
        </w:tc>
        <w:tc>
          <w:tcPr>
            <w:tcW w:w="5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8B0590" w:rsidRPr="0077079A" w:rsidTr="00E969C4"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4. Եկամուտների և ծախսերի հաշվարկների մանրամասն ներկայացում (անհրաժեշտության դեպքում կարող է ներկայացվել հավելվածի տեսքով)։</w:t>
            </w:r>
          </w:p>
        </w:tc>
        <w:tc>
          <w:tcPr>
            <w:tcW w:w="3951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8B0590" w:rsidRPr="0077079A" w:rsidTr="00E969C4"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>4.1. Եկամուտների գնահատում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8B0590" w:rsidRPr="0077079A" w:rsidTr="00E969C4"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4.2. Ծախսերի գնահատում 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0590" w:rsidRPr="0077079A" w:rsidRDefault="008B0590" w:rsidP="00E969C4">
            <w:pPr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8B0590" w:rsidRPr="0077079A" w:rsidTr="00E969C4"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77079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5. Այլ տեղեկություններ </w:t>
            </w:r>
            <w:r w:rsidRPr="0077079A">
              <w:rPr>
                <w:rFonts w:ascii="GHEA Grapalat" w:hAnsi="GHEA Grapalat" w:cs="Sylfaen"/>
                <w:bCs/>
                <w:sz w:val="22"/>
                <w:szCs w:val="22"/>
              </w:rPr>
              <w:t>(եթե այդպիսիք առկա են)</w:t>
            </w:r>
          </w:p>
        </w:tc>
        <w:tc>
          <w:tcPr>
            <w:tcW w:w="39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0590" w:rsidRPr="0077079A" w:rsidRDefault="008B0590" w:rsidP="00E969C4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</w:tbl>
    <w:p w:rsidR="008B0590" w:rsidRPr="008B0590" w:rsidRDefault="008B0590" w:rsidP="008B0590">
      <w:pPr>
        <w:spacing w:line="360" w:lineRule="auto"/>
        <w:jc w:val="both"/>
        <w:rPr>
          <w:rFonts w:ascii="GHEA Grapalat" w:hAnsi="GHEA Grapalat" w:cs="Sylfaen"/>
        </w:rPr>
      </w:pPr>
    </w:p>
    <w:p w:rsidR="00B7488E" w:rsidRDefault="00B7488E"/>
    <w:sectPr w:rsidR="00B7488E" w:rsidSect="00BF2306">
      <w:pgSz w:w="11906" w:h="16838"/>
      <w:pgMar w:top="89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B0590"/>
    <w:rsid w:val="00027604"/>
    <w:rsid w:val="002840AA"/>
    <w:rsid w:val="00297A2F"/>
    <w:rsid w:val="00323D22"/>
    <w:rsid w:val="008B0590"/>
    <w:rsid w:val="008B4403"/>
    <w:rsid w:val="00981290"/>
    <w:rsid w:val="00AB3ECA"/>
    <w:rsid w:val="00B7488E"/>
    <w:rsid w:val="00C459C6"/>
    <w:rsid w:val="00D7344B"/>
    <w:rsid w:val="00E1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590"/>
    <w:rPr>
      <w:rFonts w:ascii="Times New Roman" w:eastAsia="Times New Roman" w:hAnsi="Times New Roman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B059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1557</Words>
  <Characters>8881</Characters>
  <Application>Microsoft Office Word</Application>
  <DocSecurity>0</DocSecurity>
  <Lines>74</Lines>
  <Paragraphs>20</Paragraphs>
  <ScaleCrop>false</ScaleCrop>
  <Company/>
  <LinksUpToDate>false</LinksUpToDate>
  <CharactersWithSpaces>10418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Nver Arzunyan</dc:creator>
  <cp:keywords/>
  <dc:description/>
  <cp:lastModifiedBy>AnjelikaKh</cp:lastModifiedBy>
  <cp:revision>4</cp:revision>
  <dcterms:created xsi:type="dcterms:W3CDTF">2014-07-31T13:04:00Z</dcterms:created>
  <dcterms:modified xsi:type="dcterms:W3CDTF">2014-08-13T11:05:00Z</dcterms:modified>
</cp:coreProperties>
</file>