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93" w:rsidRPr="00516D93" w:rsidRDefault="00516D93" w:rsidP="00516D93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:rsidR="00516D93" w:rsidRDefault="00516D93" w:rsidP="0020636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516D93" w:rsidRDefault="00516D93" w:rsidP="0020636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F543B3" w:rsidRPr="006E36FB" w:rsidRDefault="00F543B3" w:rsidP="0020636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6E36FB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:rsidR="00F543B3" w:rsidRPr="006E36FB" w:rsidRDefault="00F543B3" w:rsidP="0020636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6E36FB">
        <w:rPr>
          <w:rStyle w:val="Strong"/>
          <w:rFonts w:ascii="GHEA Grapalat" w:hAnsi="GHEA Grapalat"/>
          <w:color w:val="000000"/>
          <w:lang w:val="hy-AM"/>
        </w:rPr>
        <w:t>ՕՐԵՆՔԸ</w:t>
      </w:r>
    </w:p>
    <w:p w:rsidR="00F543B3" w:rsidRPr="006F2828" w:rsidRDefault="00F543B3" w:rsidP="00F543B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6F2828">
        <w:rPr>
          <w:rFonts w:ascii="Sylfaen" w:hAnsi="Sylfaen"/>
          <w:color w:val="000000"/>
          <w:lang w:val="hy-AM"/>
        </w:rPr>
        <w:t> </w:t>
      </w:r>
    </w:p>
    <w:p w:rsidR="00516D93" w:rsidRDefault="00516D93" w:rsidP="0041063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 xml:space="preserve">ՄԻ ՇԱՐՔ ՎԱՐՉԱԿԱՆ ԻՐԱՎԱԽԱԽՏՈՒՄՆԵՐԻ ՀԱՄԱՐ ԿԻՐԱՌՎԱԾ </w:t>
      </w:r>
    </w:p>
    <w:p w:rsidR="00F543B3" w:rsidRPr="00F543B3" w:rsidRDefault="00516D93" w:rsidP="0041063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ՏՈՒԳԱՆՔՆԵՐԻ</w:t>
      </w:r>
      <w:r w:rsidR="00F543B3" w:rsidRPr="00F543B3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F543B3">
        <w:rPr>
          <w:rStyle w:val="Strong"/>
          <w:rFonts w:ascii="GHEA Grapalat" w:hAnsi="GHEA Grapalat"/>
          <w:color w:val="000000"/>
          <w:lang w:val="hy-AM"/>
        </w:rPr>
        <w:t>ՀԱՄԱՆԵՐՄ</w:t>
      </w:r>
      <w:r w:rsidR="00797CFB">
        <w:rPr>
          <w:rStyle w:val="Strong"/>
          <w:rFonts w:ascii="GHEA Grapalat" w:hAnsi="GHEA Grapalat"/>
          <w:color w:val="000000"/>
          <w:lang w:val="hy-AM"/>
        </w:rPr>
        <w:t>ԱՆ</w:t>
      </w:r>
      <w:r w:rsidR="00F543B3" w:rsidRPr="006F2828">
        <w:rPr>
          <w:rStyle w:val="Strong"/>
          <w:rFonts w:ascii="GHEA Grapalat" w:hAnsi="GHEA Grapalat"/>
          <w:color w:val="000000"/>
          <w:lang w:val="hy-AM"/>
        </w:rPr>
        <w:t xml:space="preserve"> ՄԱՍԻՆ</w:t>
      </w:r>
    </w:p>
    <w:p w:rsidR="00F543B3" w:rsidRDefault="00F543B3" w:rsidP="00F543B3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F543B3" w:rsidRDefault="00F543B3" w:rsidP="00F543B3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41063C" w:rsidRPr="00286FDA" w:rsidRDefault="0041063C" w:rsidP="00516D93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41063C">
        <w:rPr>
          <w:rFonts w:ascii="GHEA Grapalat" w:hAnsi="GHEA Grapalat"/>
          <w:b/>
          <w:color w:val="000000"/>
          <w:lang w:val="hy-AM"/>
        </w:rPr>
        <w:t xml:space="preserve">ԳԼՈՒԽ </w:t>
      </w:r>
      <w:r w:rsidRPr="00286FDA">
        <w:rPr>
          <w:rFonts w:ascii="GHEA Grapalat" w:hAnsi="GHEA Grapalat"/>
          <w:b/>
          <w:color w:val="000000"/>
          <w:lang w:val="hy-AM"/>
        </w:rPr>
        <w:t>1</w:t>
      </w:r>
    </w:p>
    <w:p w:rsidR="0041063C" w:rsidRPr="0041063C" w:rsidRDefault="0041063C" w:rsidP="00516D93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i/>
          <w:color w:val="000000"/>
          <w:lang w:val="hy-AM"/>
        </w:rPr>
      </w:pPr>
      <w:r w:rsidRPr="0041063C">
        <w:rPr>
          <w:rFonts w:ascii="GHEA Grapalat" w:hAnsi="GHEA Grapalat"/>
          <w:b/>
          <w:i/>
          <w:color w:val="000000"/>
          <w:lang w:val="hy-AM"/>
        </w:rPr>
        <w:t>ԸՆԴՀԱՆՈՒՐ ԴՐՈՒՅԹՆԵՐ</w:t>
      </w:r>
    </w:p>
    <w:p w:rsidR="0041063C" w:rsidRPr="0041063C" w:rsidRDefault="0041063C" w:rsidP="00516D93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Sylfaen" w:hAnsi="Sylfaen"/>
          <w:color w:val="000000"/>
          <w:sz w:val="21"/>
          <w:szCs w:val="21"/>
          <w:lang w:val="hy-AM"/>
        </w:rPr>
      </w:pPr>
    </w:p>
    <w:p w:rsidR="00F543B3" w:rsidRDefault="00F543B3" w:rsidP="005124F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color w:val="000000"/>
          <w:lang w:val="hy-AM"/>
        </w:rPr>
      </w:pPr>
      <w:r w:rsidRPr="00F543B3">
        <w:rPr>
          <w:rFonts w:ascii="GHEA Grapalat" w:hAnsi="GHEA Grapalat"/>
          <w:b/>
          <w:color w:val="000000"/>
          <w:lang w:val="hy-AM"/>
        </w:rPr>
        <w:t>Հոդված  1. Օրենքի կարգավորման առարկան</w:t>
      </w:r>
    </w:p>
    <w:p w:rsidR="00F543B3" w:rsidRPr="00F543B3" w:rsidRDefault="00F543B3" w:rsidP="005124F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AD5F1A">
        <w:rPr>
          <w:rFonts w:ascii="GHEA Grapalat" w:hAnsi="GHEA Grapalat"/>
          <w:color w:val="000000"/>
          <w:lang w:val="hy-AM"/>
        </w:rPr>
        <w:t xml:space="preserve">1. Սույն օրենքը կարգավորում է </w:t>
      </w:r>
      <w:r w:rsidR="00797CFB" w:rsidRPr="00AD5F1A">
        <w:rPr>
          <w:rFonts w:ascii="GHEA Grapalat" w:hAnsi="GHEA Grapalat"/>
          <w:color w:val="000000"/>
          <w:lang w:val="hy-AM"/>
        </w:rPr>
        <w:t>մինչև 2017 թվականի դեկտեմբերի 31-ը</w:t>
      </w:r>
      <w:r w:rsidR="00797CFB">
        <w:rPr>
          <w:rFonts w:ascii="GHEA Grapalat" w:hAnsi="GHEA Grapalat"/>
          <w:color w:val="000000"/>
          <w:lang w:val="hy-AM"/>
        </w:rPr>
        <w:t xml:space="preserve"> վարչական իրավախախտում կատարած </w:t>
      </w:r>
      <w:r w:rsidRPr="00F543B3">
        <w:rPr>
          <w:rFonts w:ascii="GHEA Grapalat" w:hAnsi="GHEA Grapalat"/>
          <w:color w:val="000000"/>
          <w:lang w:val="hy-AM"/>
        </w:rPr>
        <w:t>անձանց նկատմամբ համաներ</w:t>
      </w:r>
      <w:r w:rsidR="00D41D75">
        <w:rPr>
          <w:rFonts w:ascii="GHEA Grapalat" w:hAnsi="GHEA Grapalat"/>
          <w:color w:val="000000"/>
          <w:lang w:val="hy-AM"/>
        </w:rPr>
        <w:t>ման</w:t>
      </w:r>
      <w:r w:rsidRPr="00F543B3">
        <w:rPr>
          <w:rFonts w:ascii="GHEA Grapalat" w:hAnsi="GHEA Grapalat"/>
          <w:color w:val="000000"/>
          <w:lang w:val="hy-AM"/>
        </w:rPr>
        <w:t xml:space="preserve"> հետ կապված հարաբերությունները։</w:t>
      </w:r>
    </w:p>
    <w:p w:rsidR="0041063C" w:rsidRDefault="0041063C" w:rsidP="00516D93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hy-AM"/>
        </w:rPr>
      </w:pPr>
    </w:p>
    <w:p w:rsidR="0041063C" w:rsidRPr="0041063C" w:rsidRDefault="0041063C" w:rsidP="00516D93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41063C">
        <w:rPr>
          <w:rFonts w:ascii="GHEA Grapalat" w:hAnsi="GHEA Grapalat"/>
          <w:b/>
          <w:color w:val="000000"/>
          <w:lang w:val="hy-AM"/>
        </w:rPr>
        <w:t>ԳԼՈՒԽ 2</w:t>
      </w:r>
    </w:p>
    <w:p w:rsidR="0041063C" w:rsidRPr="0041063C" w:rsidRDefault="0041063C" w:rsidP="00516D93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i/>
          <w:color w:val="000000"/>
          <w:lang w:val="hy-AM"/>
        </w:rPr>
      </w:pPr>
      <w:r>
        <w:rPr>
          <w:rFonts w:ascii="GHEA Grapalat" w:hAnsi="GHEA Grapalat"/>
          <w:b/>
          <w:i/>
          <w:color w:val="000000"/>
          <w:lang w:val="hy-AM"/>
        </w:rPr>
        <w:t>ՀԱՄԱՆԵՐՄԱՆ ԿԻՐԱՌՄԱՆ ՇՐՋԱՆԱԿՆԵՐԸ</w:t>
      </w:r>
    </w:p>
    <w:p w:rsidR="005124F5" w:rsidRDefault="005124F5" w:rsidP="005124F5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b/>
          <w:color w:val="000000"/>
          <w:lang w:val="hy-AM"/>
        </w:rPr>
      </w:pPr>
    </w:p>
    <w:p w:rsidR="00F543B3" w:rsidRPr="00F543B3" w:rsidRDefault="00F543B3" w:rsidP="005124F5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b/>
          <w:color w:val="000000"/>
          <w:lang w:val="hy-AM"/>
        </w:rPr>
      </w:pPr>
      <w:r w:rsidRPr="00F543B3">
        <w:rPr>
          <w:rFonts w:ascii="GHEA Grapalat" w:hAnsi="GHEA Grapalat"/>
          <w:b/>
          <w:color w:val="000000"/>
          <w:lang w:val="hy-AM"/>
        </w:rPr>
        <w:t>Հոդված 2. Համաներման կիրառ</w:t>
      </w:r>
      <w:r w:rsidR="0041063C">
        <w:rPr>
          <w:rFonts w:ascii="GHEA Grapalat" w:hAnsi="GHEA Grapalat"/>
          <w:b/>
          <w:color w:val="000000"/>
          <w:lang w:val="hy-AM"/>
        </w:rPr>
        <w:t>ման շրջանակները</w:t>
      </w:r>
    </w:p>
    <w:p w:rsidR="00797CFB" w:rsidRPr="00A33627" w:rsidRDefault="00516D93" w:rsidP="005124F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="00797CFB">
        <w:rPr>
          <w:rFonts w:ascii="GHEA Grapalat" w:hAnsi="GHEA Grapalat"/>
          <w:color w:val="000000"/>
          <w:lang w:val="hy-AM"/>
        </w:rPr>
        <w:t xml:space="preserve">. </w:t>
      </w:r>
      <w:r w:rsidR="00797CFB" w:rsidRPr="00CF346C">
        <w:rPr>
          <w:rFonts w:ascii="GHEA Grapalat" w:hAnsi="GHEA Grapalat"/>
          <w:u w:color="000000"/>
          <w:lang w:val="hy-AM"/>
        </w:rPr>
        <w:t>Վարչական իրավախախտում կատար</w:t>
      </w:r>
      <w:r w:rsidR="00797CFB">
        <w:rPr>
          <w:rFonts w:ascii="GHEA Grapalat" w:hAnsi="GHEA Grapalat"/>
          <w:u w:color="000000"/>
          <w:lang w:val="hy-AM"/>
        </w:rPr>
        <w:t xml:space="preserve">ած անձանց </w:t>
      </w:r>
      <w:r w:rsidR="00797CFB" w:rsidRPr="00AD5F1A">
        <w:rPr>
          <w:rFonts w:ascii="GHEA Grapalat" w:hAnsi="GHEA Grapalat"/>
          <w:u w:color="000000"/>
          <w:lang w:val="hy-AM"/>
        </w:rPr>
        <w:t>ազատել մինչև 2017 թվականի դեկտեմբերի 31-ը</w:t>
      </w:r>
      <w:r w:rsidR="000C471C" w:rsidRPr="000C471C">
        <w:rPr>
          <w:rFonts w:ascii="GHEA Grapalat" w:hAnsi="GHEA Grapalat"/>
          <w:u w:color="000000"/>
          <w:lang w:val="hy-AM"/>
        </w:rPr>
        <w:t xml:space="preserve"> </w:t>
      </w:r>
      <w:r w:rsidR="000C471C">
        <w:rPr>
          <w:rFonts w:ascii="GHEA Grapalat" w:hAnsi="GHEA Grapalat"/>
          <w:u w:color="000000"/>
          <w:lang w:val="hy-AM"/>
        </w:rPr>
        <w:t>Վարչական իրավախախտումների վերաբերյալ օրենսգրքի 123-րդ,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t xml:space="preserve"> 123.1-ին (բացառությամբ 2-րդ</w:t>
      </w:r>
      <w:r w:rsidR="00797CFB" w:rsidRPr="00CF346C">
        <w:rPr>
          <w:rStyle w:val="apple-converted-space"/>
          <w:rFonts w:ascii="Helvetica Neue" w:hAnsi="Helvetica Neue"/>
          <w:color w:val="000000"/>
          <w:shd w:val="clear" w:color="auto" w:fill="FFFFFF"/>
          <w:lang w:val="hy-AM"/>
        </w:rPr>
        <w:t> 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t>մասով նախատեսված</w:t>
      </w:r>
      <w:r w:rsidR="00797CFB" w:rsidRPr="00CF346C">
        <w:rPr>
          <w:rStyle w:val="apple-converted-space"/>
          <w:rFonts w:ascii="Helvetica Neue" w:hAnsi="Helvetica Neue"/>
          <w:color w:val="000000"/>
          <w:shd w:val="clear" w:color="auto" w:fill="FFFFFF"/>
          <w:lang w:val="hy-AM"/>
        </w:rPr>
        <w:t> 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t xml:space="preserve">իրավախախտումների), 123.3-րդ, 123.4-րդ, 123.5-րդ </w:t>
      </w:r>
      <w:r w:rsidR="00797CFB" w:rsidRPr="00CF346C">
        <w:rPr>
          <w:rStyle w:val="apple-converted-space"/>
          <w:rFonts w:ascii="GHEA Grapalat" w:hAnsi="GHEA Grapalat"/>
          <w:color w:val="000000"/>
          <w:shd w:val="clear" w:color="auto" w:fill="FFFFFF"/>
          <w:lang w:val="hy-AM"/>
        </w:rPr>
        <w:t xml:space="preserve">(բացառությամբ` 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t>4-րդ,</w:t>
      </w:r>
      <w:r w:rsidR="00797CFB" w:rsidRPr="00CF346C">
        <w:rPr>
          <w:rStyle w:val="apple-converted-space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t>4.1-ին, 4.2-րդ, 5-րդ, 7-րդ, 8-րդ, 9-րդ</w:t>
      </w:r>
      <w:r w:rsidR="00797CFB" w:rsidRPr="00CF346C">
        <w:rPr>
          <w:rStyle w:val="apple-converted-space"/>
          <w:rFonts w:ascii="Helvetica Neue" w:hAnsi="Helvetica Neue"/>
          <w:color w:val="000000"/>
          <w:shd w:val="clear" w:color="auto" w:fill="FFFFFF"/>
          <w:lang w:val="hy-AM"/>
        </w:rPr>
        <w:t> 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="00797CFB" w:rsidRPr="00CF346C">
        <w:rPr>
          <w:rStyle w:val="apple-converted-space"/>
          <w:rFonts w:ascii="Helvetica Neue" w:hAnsi="Helvetica Neue"/>
          <w:color w:val="000000"/>
          <w:shd w:val="clear" w:color="auto" w:fill="FFFFFF"/>
          <w:lang w:val="hy-AM"/>
        </w:rPr>
        <w:t> 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t>10-րդ</w:t>
      </w:r>
      <w:r w:rsidR="00797CFB" w:rsidRPr="00CF346C">
        <w:rPr>
          <w:rStyle w:val="apple-converted-space"/>
          <w:rFonts w:ascii="Helvetica Neue" w:hAnsi="Helvetica Neue"/>
          <w:color w:val="000000"/>
          <w:shd w:val="clear" w:color="auto" w:fill="FFFFFF"/>
          <w:lang w:val="hy-AM"/>
        </w:rPr>
        <w:t> 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t>մասերով</w:t>
      </w:r>
      <w:r w:rsidR="00797CFB" w:rsidRPr="00CF346C">
        <w:rPr>
          <w:rStyle w:val="apple-converted-space"/>
          <w:rFonts w:ascii="Helvetica Neue" w:hAnsi="Helvetica Neue"/>
          <w:color w:val="000000"/>
          <w:shd w:val="clear" w:color="auto" w:fill="FFFFFF"/>
          <w:lang w:val="hy-AM"/>
        </w:rPr>
        <w:t> 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t>նախատեսված</w:t>
      </w:r>
      <w:r w:rsidR="00797CFB" w:rsidRPr="00CF346C">
        <w:rPr>
          <w:rStyle w:val="apple-converted-space"/>
          <w:rFonts w:ascii="Helvetica Neue" w:hAnsi="Helvetica Neue"/>
          <w:color w:val="000000"/>
          <w:shd w:val="clear" w:color="auto" w:fill="FFFFFF"/>
          <w:lang w:val="hy-AM"/>
        </w:rPr>
        <w:t> 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t>իրավախախտումների</w:t>
      </w:r>
      <w:r w:rsidR="00797CFB" w:rsidRPr="00CF346C">
        <w:rPr>
          <w:rStyle w:val="apple-converted-space"/>
          <w:rFonts w:ascii="GHEA Grapalat" w:hAnsi="GHEA Grapalat"/>
          <w:color w:val="000000"/>
          <w:shd w:val="clear" w:color="auto" w:fill="FFFFFF"/>
          <w:lang w:val="hy-AM"/>
        </w:rPr>
        <w:t xml:space="preserve">), 123.6-րդ, 123.7-րդ, 124-րդ (բացառությամբ` 31-րդ և 32-րդ մասերով նախատեսված իրավախախտումնհերի), 124.1-ին, 124.2-րդ, 124.3-րդ, 124.4-րդ, 124.6-րդ, 124.7-րդ, 125-րդ, 128-րդ, 129.2-րդ 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t>(բացառությամբ</w:t>
      </w:r>
      <w:r w:rsidR="00797CFB" w:rsidRPr="00CF346C">
        <w:rPr>
          <w:rStyle w:val="apple-converted-space"/>
          <w:rFonts w:ascii="Helvetica Neue" w:hAnsi="Helvetica Neue"/>
          <w:color w:val="000000"/>
          <w:shd w:val="clear" w:color="auto" w:fill="FFFFFF"/>
          <w:lang w:val="hy-AM"/>
        </w:rPr>
        <w:t> 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t>2-րդ</w:t>
      </w:r>
      <w:r w:rsidR="00797CFB" w:rsidRPr="00CF346C">
        <w:rPr>
          <w:rStyle w:val="apple-converted-space"/>
          <w:rFonts w:ascii="Helvetica Neue" w:hAnsi="Helvetica Neue"/>
          <w:color w:val="000000"/>
          <w:shd w:val="clear" w:color="auto" w:fill="FFFFFF"/>
          <w:lang w:val="hy-AM"/>
        </w:rPr>
        <w:t> 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="00797CFB" w:rsidRPr="00CF346C">
        <w:rPr>
          <w:rStyle w:val="apple-converted-space"/>
          <w:rFonts w:ascii="Helvetica Neue" w:hAnsi="Helvetica Neue"/>
          <w:color w:val="000000"/>
          <w:shd w:val="clear" w:color="auto" w:fill="FFFFFF"/>
          <w:lang w:val="hy-AM"/>
        </w:rPr>
        <w:t> 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t>3-րդ</w:t>
      </w:r>
      <w:r w:rsidR="00797CFB" w:rsidRPr="00CF346C">
        <w:rPr>
          <w:rStyle w:val="apple-converted-space"/>
          <w:rFonts w:ascii="Helvetica Neue" w:hAnsi="Helvetica Neue"/>
          <w:color w:val="000000"/>
          <w:shd w:val="clear" w:color="auto" w:fill="FFFFFF"/>
          <w:lang w:val="hy-AM"/>
        </w:rPr>
        <w:t> 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t>մասերով</w:t>
      </w:r>
      <w:r w:rsidR="00797CFB" w:rsidRPr="00CF346C">
        <w:rPr>
          <w:rStyle w:val="apple-converted-space"/>
          <w:rFonts w:ascii="Helvetica Neue" w:hAnsi="Helvetica Neue"/>
          <w:color w:val="000000"/>
          <w:shd w:val="clear" w:color="auto" w:fill="FFFFFF"/>
          <w:lang w:val="hy-AM"/>
        </w:rPr>
        <w:t> 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t>նախատեսված</w:t>
      </w:r>
      <w:r w:rsidR="00797CFB" w:rsidRPr="00CF346C">
        <w:rPr>
          <w:rStyle w:val="apple-converted-space"/>
          <w:rFonts w:ascii="Helvetica Neue" w:hAnsi="Helvetica Neue"/>
          <w:color w:val="000000"/>
          <w:shd w:val="clear" w:color="auto" w:fill="FFFFFF"/>
          <w:lang w:val="hy-AM"/>
        </w:rPr>
        <w:t> 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t xml:space="preserve">իրավախախտումների), 131-րդ, 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132-րդ, 135.2-րդ և 140-րդ հոդվածներով նախատեսված վարչական</w:t>
      </w:r>
      <w:r w:rsidR="00797CFB" w:rsidRPr="00CF346C">
        <w:rPr>
          <w:rStyle w:val="apple-converted-space"/>
          <w:rFonts w:ascii="Helvetica Neue" w:hAnsi="Helvetica Neue"/>
          <w:color w:val="000000"/>
          <w:shd w:val="clear" w:color="auto" w:fill="FFFFFF"/>
          <w:lang w:val="hy-AM"/>
        </w:rPr>
        <w:t> 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t>իրավախախտում</w:t>
      </w:r>
      <w:r w:rsidR="00797CFB" w:rsidRPr="00CF346C">
        <w:rPr>
          <w:rStyle w:val="apple-converted-space"/>
          <w:rFonts w:ascii="Helvetica Neue" w:hAnsi="Helvetica Neue"/>
          <w:color w:val="000000"/>
          <w:shd w:val="clear" w:color="auto" w:fill="FFFFFF"/>
          <w:lang w:val="hy-AM"/>
        </w:rPr>
        <w:t> 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t>կատարելու</w:t>
      </w:r>
      <w:r w:rsidR="00797CFB" w:rsidRPr="00CF346C">
        <w:rPr>
          <w:rStyle w:val="apple-converted-space"/>
          <w:rFonts w:ascii="Helvetica Neue" w:hAnsi="Helvetica Neue"/>
          <w:color w:val="000000"/>
          <w:shd w:val="clear" w:color="auto" w:fill="FFFFFF"/>
          <w:lang w:val="hy-AM"/>
        </w:rPr>
        <w:t> </w:t>
      </w:r>
      <w:r w:rsidR="00797CFB" w:rsidRPr="00CF346C">
        <w:rPr>
          <w:rFonts w:ascii="GHEA Grapalat" w:hAnsi="GHEA Grapalat"/>
          <w:color w:val="000000"/>
          <w:shd w:val="clear" w:color="auto" w:fill="FFFFFF"/>
          <w:lang w:val="hy-AM"/>
        </w:rPr>
        <w:t>համար վարչական ակտով նախատեսված տուգանքի գումարի չվճարած մասը վճարելու պարտականությունից</w:t>
      </w:r>
      <w:r w:rsidR="00797CFB" w:rsidRPr="00A33627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6468E4" w:rsidRPr="00E057B9" w:rsidRDefault="00E057B9" w:rsidP="00E057B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Pr="00E057B9">
        <w:rPr>
          <w:rFonts w:ascii="GHEA Grapalat" w:hAnsi="GHEA Grapalat"/>
          <w:color w:val="000000"/>
          <w:lang w:val="hy-AM"/>
        </w:rPr>
        <w:t xml:space="preserve">. </w:t>
      </w:r>
      <w:r w:rsidR="00B429C0">
        <w:rPr>
          <w:rFonts w:ascii="GHEA Grapalat" w:hAnsi="GHEA Grapalat"/>
          <w:lang w:val="hy-AM"/>
        </w:rPr>
        <w:t>Ս</w:t>
      </w:r>
      <w:r w:rsidRPr="00E057B9">
        <w:rPr>
          <w:rFonts w:ascii="GHEA Grapalat" w:hAnsi="GHEA Grapalat"/>
          <w:lang w:val="hy-AM"/>
        </w:rPr>
        <w:t>ույն հոդվածի 1-ին մասով նախատեսված և մինչև</w:t>
      </w:r>
      <w:r>
        <w:rPr>
          <w:rFonts w:ascii="GHEA Grapalat" w:hAnsi="GHEA Grapalat"/>
          <w:lang w:val="hy-AM"/>
        </w:rPr>
        <w:t xml:space="preserve"> 201</w:t>
      </w:r>
      <w:r w:rsidRPr="00E057B9">
        <w:rPr>
          <w:rFonts w:ascii="GHEA Grapalat" w:hAnsi="GHEA Grapalat"/>
          <w:lang w:val="hy-AM"/>
        </w:rPr>
        <w:t xml:space="preserve">7 թվականի </w:t>
      </w:r>
      <w:r>
        <w:rPr>
          <w:rFonts w:ascii="GHEA Grapalat" w:hAnsi="GHEA Grapalat"/>
          <w:lang w:val="hy-AM"/>
        </w:rPr>
        <w:t>դեկտեմբերի</w:t>
      </w:r>
      <w:r w:rsidRPr="00E057B9">
        <w:rPr>
          <w:rFonts w:ascii="GHEA Grapalat" w:hAnsi="GHEA Grapalat"/>
          <w:lang w:val="hy-AM"/>
        </w:rPr>
        <w:t xml:space="preserve"> 31-ը կատարված վարչական իրավախախտումների վերաբերյալ կայացված վարչական ակտերի, ինչպես նաև </w:t>
      </w:r>
      <w:r w:rsidR="008634DF">
        <w:rPr>
          <w:rFonts w:ascii="GHEA Grapalat" w:hAnsi="GHEA Grapalat"/>
          <w:lang w:val="hy-AM"/>
        </w:rPr>
        <w:t xml:space="preserve">այդ </w:t>
      </w:r>
      <w:r w:rsidRPr="00E057B9">
        <w:rPr>
          <w:rFonts w:ascii="GHEA Grapalat" w:hAnsi="GHEA Grapalat"/>
          <w:lang w:val="hy-AM"/>
        </w:rPr>
        <w:t>վարչական իրավախախտումների վերաբերյալ անբողոքարկելի վարչական ակտերի հիման վրա հանրային իրավական դրամական պահանջներով գումարի բռնագանձման </w:t>
      </w:r>
      <w:r w:rsidR="00B429C0">
        <w:rPr>
          <w:rFonts w:ascii="GHEA Grapalat" w:hAnsi="GHEA Grapalat"/>
          <w:lang w:val="hy-AM"/>
        </w:rPr>
        <w:t xml:space="preserve"> </w:t>
      </w:r>
      <w:r w:rsidRPr="00E057B9">
        <w:rPr>
          <w:rFonts w:ascii="GHEA Grapalat" w:hAnsi="GHEA Grapalat"/>
          <w:lang w:val="hy-AM"/>
        </w:rPr>
        <w:t>վերաբերյալ գործերով վարչական դատար</w:t>
      </w:r>
      <w:r w:rsidR="00B429C0">
        <w:rPr>
          <w:rFonts w:ascii="GHEA Grapalat" w:hAnsi="GHEA Grapalat"/>
          <w:lang w:val="hy-AM"/>
        </w:rPr>
        <w:t>ա</w:t>
      </w:r>
      <w:r w:rsidRPr="00E057B9">
        <w:rPr>
          <w:rFonts w:ascii="GHEA Grapalat" w:hAnsi="GHEA Grapalat"/>
          <w:lang w:val="hy-AM"/>
        </w:rPr>
        <w:t>նի կողմից տրված կատարողական թերթերի հիման վրա հարուցված կատարողական վարույթներ</w:t>
      </w:r>
      <w:r w:rsidR="00B429C0">
        <w:rPr>
          <w:rFonts w:ascii="GHEA Grapalat" w:hAnsi="GHEA Grapalat"/>
          <w:lang w:val="hy-AM"/>
        </w:rPr>
        <w:t>ն օրենքով սահմանված կարգով ենթակա են կարճման</w:t>
      </w:r>
      <w:r w:rsidRPr="00E057B9">
        <w:rPr>
          <w:rFonts w:ascii="GHEA Grapalat" w:hAnsi="GHEA Grapalat"/>
          <w:lang w:val="hy-AM"/>
        </w:rPr>
        <w:t>՝ կատարողական վարույթի կողմերին ազատելով «Դատական ակտերի հարկադիր կատարման մասին» օրենքի 67-րդ հոդվածով նախատեսված կատարողական գործողությունների կատարման ծախսերը վճարելու պարտականությունից:</w:t>
      </w:r>
      <w:bookmarkStart w:id="0" w:name="_GoBack"/>
      <w:bookmarkEnd w:id="0"/>
    </w:p>
    <w:p w:rsidR="00E057B9" w:rsidRDefault="00E057B9" w:rsidP="00516D93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hy-AM"/>
        </w:rPr>
      </w:pPr>
    </w:p>
    <w:p w:rsidR="003E2118" w:rsidRDefault="003E2118" w:rsidP="00516D93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hy-AM"/>
        </w:rPr>
      </w:pPr>
    </w:p>
    <w:p w:rsidR="0041063C" w:rsidRPr="0041063C" w:rsidRDefault="0041063C" w:rsidP="00516D93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41063C">
        <w:rPr>
          <w:rFonts w:ascii="GHEA Grapalat" w:hAnsi="GHEA Grapalat"/>
          <w:b/>
          <w:color w:val="000000"/>
          <w:lang w:val="hy-AM"/>
        </w:rPr>
        <w:t>ԳԼՈՒԽ 3</w:t>
      </w:r>
    </w:p>
    <w:p w:rsidR="0041063C" w:rsidRPr="0041063C" w:rsidRDefault="0041063C" w:rsidP="00516D93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i/>
          <w:color w:val="000000"/>
          <w:lang w:val="hy-AM"/>
        </w:rPr>
      </w:pPr>
      <w:r>
        <w:rPr>
          <w:rFonts w:ascii="GHEA Grapalat" w:hAnsi="GHEA Grapalat"/>
          <w:b/>
          <w:i/>
          <w:color w:val="000000"/>
          <w:lang w:val="hy-AM"/>
        </w:rPr>
        <w:t xml:space="preserve">ԵԶՐԱՓԱԿԻՉ ՄԱՍ </w:t>
      </w:r>
    </w:p>
    <w:p w:rsidR="0041063C" w:rsidRDefault="0041063C" w:rsidP="00516D9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6468E4" w:rsidRDefault="006468E4" w:rsidP="005124F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color w:val="000000"/>
          <w:lang w:val="hy-AM"/>
        </w:rPr>
      </w:pPr>
      <w:r w:rsidRPr="0041063C">
        <w:rPr>
          <w:rFonts w:ascii="GHEA Grapalat" w:hAnsi="GHEA Grapalat"/>
          <w:b/>
          <w:color w:val="000000"/>
          <w:lang w:val="hy-AM"/>
        </w:rPr>
        <w:t xml:space="preserve">Հոդված 3. </w:t>
      </w:r>
      <w:r w:rsidR="0041063C" w:rsidRPr="0041063C">
        <w:rPr>
          <w:rFonts w:ascii="GHEA Grapalat" w:hAnsi="GHEA Grapalat"/>
          <w:b/>
          <w:color w:val="000000"/>
          <w:lang w:val="hy-AM"/>
        </w:rPr>
        <w:t>Օրենքի ուժի մեջ մտնելը</w:t>
      </w:r>
    </w:p>
    <w:p w:rsidR="006468E4" w:rsidRDefault="006468E4" w:rsidP="005124F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6468E4">
        <w:rPr>
          <w:rFonts w:ascii="GHEA Grapalat" w:hAnsi="GHEA Grapalat"/>
          <w:color w:val="000000"/>
          <w:lang w:val="hy-AM"/>
        </w:rPr>
        <w:t xml:space="preserve">1. </w:t>
      </w:r>
      <w:r>
        <w:rPr>
          <w:rFonts w:ascii="GHEA Grapalat" w:hAnsi="GHEA Grapalat"/>
          <w:color w:val="000000"/>
          <w:lang w:val="hy-AM"/>
        </w:rPr>
        <w:t xml:space="preserve">Սույն օրենքն ուժի մեջ է մտնում պաշտոնական հրապարակման օրվան հաջորդող </w:t>
      </w:r>
      <w:r w:rsidR="00797CFB">
        <w:rPr>
          <w:rFonts w:ascii="GHEA Grapalat" w:hAnsi="GHEA Grapalat"/>
          <w:color w:val="000000"/>
          <w:lang w:val="hy-AM"/>
        </w:rPr>
        <w:t>օրվանից</w:t>
      </w:r>
      <w:r>
        <w:rPr>
          <w:rFonts w:ascii="GHEA Grapalat" w:hAnsi="GHEA Grapalat"/>
          <w:color w:val="000000"/>
          <w:lang w:val="hy-AM"/>
        </w:rPr>
        <w:t>։</w:t>
      </w:r>
    </w:p>
    <w:p w:rsidR="006468E4" w:rsidRPr="00286FDA" w:rsidRDefault="006468E4" w:rsidP="00F543B3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sectPr w:rsidR="006468E4" w:rsidRPr="00286FDA" w:rsidSect="00516D93">
      <w:footerReference w:type="default" r:id="rId7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5DB" w:rsidRDefault="002965DB" w:rsidP="00206363">
      <w:pPr>
        <w:spacing w:after="0" w:line="240" w:lineRule="auto"/>
      </w:pPr>
      <w:r>
        <w:separator/>
      </w:r>
    </w:p>
  </w:endnote>
  <w:endnote w:type="continuationSeparator" w:id="0">
    <w:p w:rsidR="002965DB" w:rsidRDefault="002965DB" w:rsidP="0020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3175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6363" w:rsidRDefault="00BE47F0">
        <w:pPr>
          <w:pStyle w:val="Footer"/>
          <w:jc w:val="right"/>
        </w:pPr>
        <w:r>
          <w:fldChar w:fldCharType="begin"/>
        </w:r>
        <w:r w:rsidR="00206363">
          <w:instrText xml:space="preserve"> PAGE   \* MERGEFORMAT </w:instrText>
        </w:r>
        <w:r>
          <w:fldChar w:fldCharType="separate"/>
        </w:r>
        <w:r w:rsidR="00B429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6363" w:rsidRDefault="002063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5DB" w:rsidRDefault="002965DB" w:rsidP="00206363">
      <w:pPr>
        <w:spacing w:after="0" w:line="240" w:lineRule="auto"/>
      </w:pPr>
      <w:r>
        <w:separator/>
      </w:r>
    </w:p>
  </w:footnote>
  <w:footnote w:type="continuationSeparator" w:id="0">
    <w:p w:rsidR="002965DB" w:rsidRDefault="002965DB" w:rsidP="00206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3484"/>
    <w:rsid w:val="000A4B8F"/>
    <w:rsid w:val="000C471C"/>
    <w:rsid w:val="000F6C7A"/>
    <w:rsid w:val="00105883"/>
    <w:rsid w:val="001A5978"/>
    <w:rsid w:val="001E37F5"/>
    <w:rsid w:val="001E48A5"/>
    <w:rsid w:val="00206363"/>
    <w:rsid w:val="0020651B"/>
    <w:rsid w:val="00214575"/>
    <w:rsid w:val="00215A14"/>
    <w:rsid w:val="00235072"/>
    <w:rsid w:val="002350A9"/>
    <w:rsid w:val="00261FBB"/>
    <w:rsid w:val="002633AA"/>
    <w:rsid w:val="00286FDA"/>
    <w:rsid w:val="002965DB"/>
    <w:rsid w:val="002B06BB"/>
    <w:rsid w:val="002F430F"/>
    <w:rsid w:val="003D7D64"/>
    <w:rsid w:val="003E2118"/>
    <w:rsid w:val="003E6BD6"/>
    <w:rsid w:val="0041063C"/>
    <w:rsid w:val="00426AD6"/>
    <w:rsid w:val="00452E4C"/>
    <w:rsid w:val="004A77FB"/>
    <w:rsid w:val="005124F5"/>
    <w:rsid w:val="00516D93"/>
    <w:rsid w:val="005200D6"/>
    <w:rsid w:val="00525771"/>
    <w:rsid w:val="00552789"/>
    <w:rsid w:val="00557A2D"/>
    <w:rsid w:val="005B61A6"/>
    <w:rsid w:val="005D4055"/>
    <w:rsid w:val="006468E4"/>
    <w:rsid w:val="00652B3A"/>
    <w:rsid w:val="00671423"/>
    <w:rsid w:val="006B5D45"/>
    <w:rsid w:val="006C7ED1"/>
    <w:rsid w:val="006D0C28"/>
    <w:rsid w:val="006D73DE"/>
    <w:rsid w:val="00731E98"/>
    <w:rsid w:val="00765B86"/>
    <w:rsid w:val="00793017"/>
    <w:rsid w:val="00797CFB"/>
    <w:rsid w:val="007A1432"/>
    <w:rsid w:val="0080408F"/>
    <w:rsid w:val="00807ADF"/>
    <w:rsid w:val="00813484"/>
    <w:rsid w:val="00835E9B"/>
    <w:rsid w:val="0084269E"/>
    <w:rsid w:val="008634DF"/>
    <w:rsid w:val="0087307C"/>
    <w:rsid w:val="00891D92"/>
    <w:rsid w:val="00891EAD"/>
    <w:rsid w:val="008B138F"/>
    <w:rsid w:val="008E6998"/>
    <w:rsid w:val="0090547B"/>
    <w:rsid w:val="009217C9"/>
    <w:rsid w:val="00936084"/>
    <w:rsid w:val="00984447"/>
    <w:rsid w:val="00990396"/>
    <w:rsid w:val="00996D3F"/>
    <w:rsid w:val="009F2500"/>
    <w:rsid w:val="00A2701E"/>
    <w:rsid w:val="00A33627"/>
    <w:rsid w:val="00A77CEA"/>
    <w:rsid w:val="00A90590"/>
    <w:rsid w:val="00AB1A5C"/>
    <w:rsid w:val="00AD5F1A"/>
    <w:rsid w:val="00AF4AC5"/>
    <w:rsid w:val="00B32ECE"/>
    <w:rsid w:val="00B429C0"/>
    <w:rsid w:val="00B9466D"/>
    <w:rsid w:val="00BE47F0"/>
    <w:rsid w:val="00C039DA"/>
    <w:rsid w:val="00C06BFE"/>
    <w:rsid w:val="00C71CD8"/>
    <w:rsid w:val="00C849F4"/>
    <w:rsid w:val="00C9440A"/>
    <w:rsid w:val="00CA4923"/>
    <w:rsid w:val="00D0194C"/>
    <w:rsid w:val="00D35517"/>
    <w:rsid w:val="00D41D75"/>
    <w:rsid w:val="00DB38B4"/>
    <w:rsid w:val="00E057B9"/>
    <w:rsid w:val="00E62786"/>
    <w:rsid w:val="00E73AF9"/>
    <w:rsid w:val="00EC209F"/>
    <w:rsid w:val="00EE27DE"/>
    <w:rsid w:val="00F543B3"/>
    <w:rsid w:val="00FC033A"/>
    <w:rsid w:val="00FD0543"/>
    <w:rsid w:val="00FE5D02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03C4EE-6344-471B-8701-5B45D261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4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543B3"/>
    <w:rPr>
      <w:i/>
      <w:iCs/>
    </w:rPr>
  </w:style>
  <w:style w:type="character" w:styleId="Strong">
    <w:name w:val="Strong"/>
    <w:basedOn w:val="DefaultParagraphFont"/>
    <w:uiPriority w:val="22"/>
    <w:qFormat/>
    <w:rsid w:val="00F543B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3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9DA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9DA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9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363"/>
  </w:style>
  <w:style w:type="paragraph" w:styleId="Footer">
    <w:name w:val="footer"/>
    <w:basedOn w:val="Normal"/>
    <w:link w:val="FooterChar"/>
    <w:uiPriority w:val="99"/>
    <w:unhideWhenUsed/>
    <w:rsid w:val="0020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3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363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363"/>
    <w:rPr>
      <w:rFonts w:eastAsiaTheme="minorEastAsi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797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4DB8-69F1-475C-936C-3A0F85C3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Արփի Սարգսյան</dc:creator>
  <cp:lastModifiedBy>Hamazasp Torosyan</cp:lastModifiedBy>
  <cp:revision>7</cp:revision>
  <dcterms:created xsi:type="dcterms:W3CDTF">2018-07-02T12:44:00Z</dcterms:created>
  <dcterms:modified xsi:type="dcterms:W3CDTF">2018-07-03T14:57:00Z</dcterms:modified>
</cp:coreProperties>
</file>