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0D" w:rsidRPr="00A32778" w:rsidRDefault="006E3A0D" w:rsidP="004332C6">
      <w:pPr>
        <w:pStyle w:val="BodyText"/>
        <w:spacing w:after="0"/>
        <w:jc w:val="center"/>
        <w:rPr>
          <w:rFonts w:ascii="GHEA Grapalat" w:hAnsi="GHEA Grapalat"/>
          <w:b/>
          <w:caps/>
          <w:sz w:val="22"/>
          <w:szCs w:val="22"/>
          <w:lang w:val="af-ZA"/>
        </w:rPr>
      </w:pPr>
      <w:r w:rsidRPr="00A32778">
        <w:rPr>
          <w:rFonts w:ascii="GHEA Grapalat" w:hAnsi="GHEA Grapalat" w:cs="Sylfaen"/>
          <w:b/>
          <w:caps/>
          <w:sz w:val="22"/>
          <w:szCs w:val="22"/>
        </w:rPr>
        <w:t>Ա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Մ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Փ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Ո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Փ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Ա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Թ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Ե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Ր</w:t>
      </w: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Pr="00A32778">
        <w:rPr>
          <w:rFonts w:ascii="GHEA Grapalat" w:hAnsi="GHEA Grapalat" w:cs="Sylfaen"/>
          <w:b/>
          <w:caps/>
          <w:sz w:val="22"/>
          <w:szCs w:val="22"/>
        </w:rPr>
        <w:t>Թ</w:t>
      </w:r>
    </w:p>
    <w:p w:rsidR="006E3A0D" w:rsidRPr="00A32778" w:rsidRDefault="000A21E6" w:rsidP="004332C6">
      <w:pPr>
        <w:jc w:val="center"/>
        <w:rPr>
          <w:rFonts w:ascii="GHEA Grapalat" w:hAnsi="GHEA Grapalat"/>
          <w:b/>
          <w:bCs/>
          <w:caps/>
          <w:sz w:val="22"/>
          <w:szCs w:val="22"/>
          <w:lang w:val="af-ZA"/>
        </w:rPr>
      </w:pPr>
      <w:r w:rsidRPr="00A32778">
        <w:rPr>
          <w:rFonts w:ascii="GHEA Grapalat" w:hAnsi="GHEA Grapalat"/>
          <w:b/>
          <w:caps/>
          <w:sz w:val="22"/>
          <w:szCs w:val="22"/>
          <w:lang w:val="af-ZA"/>
        </w:rPr>
        <w:t>«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>Դատախազական ծառայության մասին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», 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«Դատախազության մասին»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Հայաստանի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Հանրապետության օրենքում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լրացումներ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և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փոփոխություններ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կատարելու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մասին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»,  «Հանրային ծառայության մասին» Հայաստանի Հանրապետության օրենքում լրացումներ կատարելու մասին», «Հայաստանի Հանրապետության օրենսդիր, գործադիր և դատական իշխանության մարմինների ղեկավար աշխատողների պաշտոնային դրույքաչափերի մասին» Հայաստանի Հանրապետության օրենքում փոփոխություն կատարելու մասին», «Պետական կառավարչական հիմնարկների մասին»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Հայաստանի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>Հանրապետության</w:t>
      </w:r>
      <w:r w:rsidR="003F5F09" w:rsidRPr="00A32778">
        <w:rPr>
          <w:rFonts w:ascii="GHEA Grapalat" w:hAnsi="GHEA Grapalat"/>
          <w:b/>
          <w:caps/>
          <w:sz w:val="22"/>
          <w:szCs w:val="22"/>
          <w:lang w:val="af-ZA"/>
        </w:rPr>
        <w:t xml:space="preserve"> </w:t>
      </w:r>
      <w:r w:rsidR="003F5F09" w:rsidRPr="00A32778">
        <w:rPr>
          <w:rFonts w:ascii="GHEA Grapalat" w:hAnsi="GHEA Grapalat" w:cs="Sylfaen"/>
          <w:b/>
          <w:caps/>
          <w:sz w:val="22"/>
          <w:szCs w:val="22"/>
          <w:lang w:val="af-ZA"/>
        </w:rPr>
        <w:t xml:space="preserve">օրենքում փոփոխություն և լրացում կատարելու մասին» Հայաստանի Հանրապետության օրենքների </w:t>
      </w:r>
      <w:r w:rsidR="003F5F09" w:rsidRPr="00A32778">
        <w:rPr>
          <w:rFonts w:ascii="GHEA Grapalat" w:hAnsi="GHEA Grapalat" w:cs="Arial LatArm"/>
          <w:b/>
          <w:caps/>
          <w:sz w:val="22"/>
          <w:szCs w:val="22"/>
          <w:lang w:val="af-ZA"/>
        </w:rPr>
        <w:t>նախագծերի</w:t>
      </w:r>
      <w:r w:rsidR="006E3A0D" w:rsidRPr="00A32778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</w:t>
      </w:r>
      <w:r w:rsidR="006E3A0D" w:rsidRPr="00A32778">
        <w:rPr>
          <w:rFonts w:ascii="GHEA Grapalat" w:hAnsi="GHEA Grapalat" w:cs="Sylfaen"/>
          <w:b/>
          <w:bCs/>
          <w:caps/>
          <w:sz w:val="22"/>
          <w:szCs w:val="22"/>
        </w:rPr>
        <w:t>վերաբերյալ</w:t>
      </w:r>
      <w:r w:rsidR="006E3A0D" w:rsidRPr="00A32778">
        <w:rPr>
          <w:rFonts w:ascii="GHEA Grapalat" w:hAnsi="GHEA Grapalat"/>
          <w:b/>
          <w:bCs/>
          <w:caps/>
          <w:sz w:val="22"/>
          <w:szCs w:val="22"/>
          <w:lang w:val="af-ZA"/>
        </w:rPr>
        <w:t xml:space="preserve"> կատարված առաջարկությունների</w:t>
      </w:r>
    </w:p>
    <w:tbl>
      <w:tblPr>
        <w:tblpPr w:leftFromText="180" w:rightFromText="180" w:vertAnchor="text" w:horzAnchor="margin" w:tblpXSpec="center" w:tblpY="234"/>
        <w:tblW w:w="15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5457"/>
        <w:gridCol w:w="2142"/>
        <w:gridCol w:w="5163"/>
      </w:tblGrid>
      <w:tr w:rsidR="006E3A0D" w:rsidRPr="00A32778" w:rsidTr="004B02C1">
        <w:trPr>
          <w:trHeight w:val="983"/>
        </w:trPr>
        <w:tc>
          <w:tcPr>
            <w:tcW w:w="2448" w:type="dxa"/>
          </w:tcPr>
          <w:p w:rsidR="006E3A0D" w:rsidRPr="00A32778" w:rsidRDefault="006E3A0D" w:rsidP="0037359F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6E3A0D" w:rsidRPr="00A32778" w:rsidRDefault="006E3A0D" w:rsidP="0037359F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հեղինակը</w:t>
            </w:r>
          </w:p>
          <w:p w:rsidR="006E3A0D" w:rsidRPr="00A32778" w:rsidRDefault="006E3A0D" w:rsidP="0037359F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5457" w:type="dxa"/>
          </w:tcPr>
          <w:p w:rsidR="006E3A0D" w:rsidRPr="00A32778" w:rsidRDefault="006E3A0D" w:rsidP="0037359F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Առարկության, առաջարկության</w:t>
            </w:r>
          </w:p>
          <w:p w:rsidR="006E3A0D" w:rsidRPr="00A32778" w:rsidRDefault="006E3A0D" w:rsidP="0037359F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բովանդակությունը</w:t>
            </w:r>
          </w:p>
        </w:tc>
        <w:tc>
          <w:tcPr>
            <w:tcW w:w="2142" w:type="dxa"/>
          </w:tcPr>
          <w:p w:rsidR="006E3A0D" w:rsidRPr="00A32778" w:rsidRDefault="006E3A0D" w:rsidP="0037359F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5163" w:type="dxa"/>
          </w:tcPr>
          <w:p w:rsidR="006E3A0D" w:rsidRPr="00A32778" w:rsidRDefault="006E3A0D" w:rsidP="0037359F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Կատարված փոփոխություններ</w:t>
            </w:r>
          </w:p>
        </w:tc>
      </w:tr>
      <w:tr w:rsidR="006E3A0D" w:rsidRPr="00A32778" w:rsidTr="004B02C1">
        <w:tc>
          <w:tcPr>
            <w:tcW w:w="2448" w:type="dxa"/>
          </w:tcPr>
          <w:p w:rsidR="006E3A0D" w:rsidRPr="00A32778" w:rsidRDefault="006E3A0D" w:rsidP="0037359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5457" w:type="dxa"/>
          </w:tcPr>
          <w:p w:rsidR="006E3A0D" w:rsidRPr="00A32778" w:rsidRDefault="006E3A0D" w:rsidP="0037359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2142" w:type="dxa"/>
          </w:tcPr>
          <w:p w:rsidR="006E3A0D" w:rsidRPr="00A32778" w:rsidRDefault="006E3A0D" w:rsidP="0037359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5163" w:type="dxa"/>
          </w:tcPr>
          <w:p w:rsidR="006E3A0D" w:rsidRPr="00A32778" w:rsidRDefault="006E3A0D" w:rsidP="0037359F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3309E4" w:rsidRPr="00AD0A6B" w:rsidTr="004B02C1">
        <w:trPr>
          <w:trHeight w:val="1243"/>
        </w:trPr>
        <w:tc>
          <w:tcPr>
            <w:tcW w:w="2448" w:type="dxa"/>
          </w:tcPr>
          <w:p w:rsidR="003309E4" w:rsidRPr="00A32778" w:rsidRDefault="003309E4" w:rsidP="0037359F">
            <w:pPr>
              <w:tabs>
                <w:tab w:val="left" w:pos="0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ՀՀ </w:t>
            </w:r>
            <w:r w:rsidR="0037359F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կառավարության</w:t>
            </w:r>
            <w:r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աշխատակազմ</w:t>
            </w:r>
          </w:p>
          <w:p w:rsidR="003309E4" w:rsidRPr="00A32778" w:rsidRDefault="004B02C1" w:rsidP="004B02C1">
            <w:pPr>
              <w:tabs>
                <w:tab w:val="left" w:pos="0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2013</w:t>
            </w:r>
            <w:r w:rsidR="003309E4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</w:t>
            </w:r>
            <w:r w:rsidR="003309E4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. </w:t>
            </w:r>
            <w:r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հունվարի</w:t>
            </w:r>
            <w:r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18</w:t>
            </w:r>
            <w:r w:rsidR="003309E4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-</w:t>
            </w:r>
            <w:r w:rsidR="003309E4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</w:t>
            </w:r>
            <w:r w:rsidR="003309E4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3309E4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թիվ</w:t>
            </w:r>
            <w:r w:rsidR="003309E4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02/16.10/628-13</w:t>
            </w:r>
            <w:r w:rsidR="0037359F" w:rsidRPr="00A3277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հանձնարարական</w:t>
            </w:r>
          </w:p>
        </w:tc>
        <w:tc>
          <w:tcPr>
            <w:tcW w:w="5457" w:type="dxa"/>
          </w:tcPr>
          <w:p w:rsidR="00756B03" w:rsidRPr="00A32778" w:rsidRDefault="000A21E6" w:rsidP="0037359F">
            <w:pPr>
              <w:pStyle w:val="BodyText"/>
              <w:spacing w:after="0"/>
              <w:ind w:right="15"/>
              <w:jc w:val="both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Arial LatArm"/>
                <w:sz w:val="22"/>
                <w:szCs w:val="22"/>
                <w:lang w:val="af-ZA"/>
              </w:rPr>
              <w:t>«Դատախազական ծառայության մասին» ՀՀ օրենքի նախագծում՝</w:t>
            </w:r>
          </w:p>
          <w:p w:rsidR="004B02C1" w:rsidRPr="00A32778" w:rsidRDefault="004B02C1" w:rsidP="004B02C1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1.</w:t>
            </w:r>
            <w:r w:rsidRPr="00A32778">
              <w:rPr>
                <w:rFonts w:ascii="GHEA Grapalat" w:hAnsi="GHEA Grapalat"/>
                <w:sz w:val="22"/>
                <w:szCs w:val="22"/>
              </w:rPr>
              <w:t>Նախագծի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36-</w:t>
            </w:r>
            <w:r w:rsidRPr="00A32778">
              <w:rPr>
                <w:rFonts w:ascii="GHEA Grapalat" w:hAnsi="GHEA Grapalat"/>
                <w:sz w:val="22"/>
                <w:szCs w:val="22"/>
              </w:rPr>
              <w:t>րդ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/>
                <w:sz w:val="22"/>
                <w:szCs w:val="22"/>
              </w:rPr>
              <w:t>հոդվածի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A32778">
              <w:rPr>
                <w:rFonts w:ascii="GHEA Grapalat" w:hAnsi="GHEA Grapalat"/>
                <w:sz w:val="22"/>
                <w:szCs w:val="22"/>
              </w:rPr>
              <w:t>րդ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/>
                <w:sz w:val="22"/>
                <w:szCs w:val="22"/>
              </w:rPr>
              <w:t>մասը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/>
                <w:sz w:val="22"/>
                <w:szCs w:val="22"/>
              </w:rPr>
              <w:t>հակասում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/>
                <w:sz w:val="22"/>
                <w:szCs w:val="22"/>
              </w:rPr>
              <w:t>է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>«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ծառայողների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վարձատրության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մա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>u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»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Հայա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>u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տանի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o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րենքի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3-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հոդվածին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որի՝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վերջինս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տարածվում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դատախազական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ծառայողների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4B02C1" w:rsidRPr="00A32778" w:rsidRDefault="004B02C1" w:rsidP="004B02C1">
            <w:pPr>
              <w:pStyle w:val="BodyText"/>
              <w:jc w:val="both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Նկատի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ունենալով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նախագծի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36-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րդ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հոդվածի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2-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րդ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մասը՝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գտնում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ենք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,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որ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նույն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հոդվածի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3-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րդ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մասի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այն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դրույթները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,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ըստ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eastAsia="ru-RU"/>
              </w:rPr>
              <w:t>որի՝</w:t>
            </w:r>
            <w:r w:rsidRPr="00A32778">
              <w:rPr>
                <w:rFonts w:ascii="GHEA Grapalat" w:hAnsi="GHEA Grapalat" w:cs="Arial Armenia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դատախազական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ծառայողին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տրվում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է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դա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>u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ային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ա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>u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տիճանի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հավելավճար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նրա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հիմնական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աշխատավարձի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երեք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տոկո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>u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ի</w:t>
            </w:r>
            <w:r w:rsidRPr="00A32778"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չափով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,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հակասում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eastAsia="ru-RU"/>
              </w:rPr>
              <w:t>է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  <w:t xml:space="preserve"> </w:t>
            </w:r>
            <w:r w:rsidRPr="00A32778">
              <w:rPr>
                <w:rFonts w:ascii="GHEA Grapalat" w:hAnsi="GHEA Grapalat" w:cs="Arial LatArm"/>
                <w:sz w:val="22"/>
                <w:szCs w:val="22"/>
                <w:lang w:val="af-ZA"/>
              </w:rPr>
              <w:t xml:space="preserve">«Քաղաքացիական ծառայողների վարձատրության մասին» ՀՀ օրենքին, քանի որ վերջինս չի սահմանում նման հավելավճար դասային աստիճանի համար, ուստի առաջարկում ենք նախագծի 36-րդ հոդվածի 2-րդ մասում սահմանել </w:t>
            </w:r>
            <w:r w:rsidRPr="00A32778">
              <w:rPr>
                <w:rFonts w:ascii="GHEA Grapalat" w:hAnsi="GHEA Grapalat" w:cs="Arial LatArm"/>
                <w:sz w:val="22"/>
                <w:szCs w:val="22"/>
                <w:lang w:val="af-ZA"/>
              </w:rPr>
              <w:lastRenderedPageBreak/>
              <w:t xml:space="preserve">համապատասխան բացառություն: </w:t>
            </w:r>
          </w:p>
          <w:p w:rsidR="004B02C1" w:rsidRPr="00A32778" w:rsidRDefault="004B02C1" w:rsidP="004B02C1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Arial LatArm"/>
                <w:sz w:val="22"/>
                <w:szCs w:val="22"/>
                <w:lang w:val="af-ZA"/>
              </w:rPr>
              <w:t>2.Նախագծի 17-րդ հոդվածի 2-րդ մասը հակասում է նախագծի 25-րդ հոդվածին, որը սահմանում է դատախազական ծառայողի ռոտացիայի հետ կապված հարաբերությունները, ուստի առաջարկում ենք սահմանել բացառություն:</w:t>
            </w:r>
          </w:p>
          <w:p w:rsidR="003309E4" w:rsidRPr="00A32778" w:rsidRDefault="004B02C1" w:rsidP="004B02C1">
            <w:pPr>
              <w:pStyle w:val="BodyText"/>
              <w:spacing w:after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Arial LatArm"/>
                <w:sz w:val="22"/>
                <w:szCs w:val="22"/>
                <w:lang w:val="af-ZA"/>
              </w:rPr>
              <w:t>3.Նախագծի 26-րդ հոդվածի 3-րդ մասը անհրաժեշտ է համապատասխանեցնել &lt;&lt;Հանրային ծառայության մասին&gt;&gt; ՀՀ օրենքի 15-րդ հոդվածի 3-րդ մասին:</w:t>
            </w:r>
          </w:p>
        </w:tc>
        <w:tc>
          <w:tcPr>
            <w:tcW w:w="2142" w:type="dxa"/>
          </w:tcPr>
          <w:p w:rsidR="003309E4" w:rsidRPr="00A32778" w:rsidRDefault="003309E4" w:rsidP="0037359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37359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37359F" w:rsidRPr="00A32778" w:rsidRDefault="007B5A75" w:rsidP="007B5A75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>1.Ընդունվել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32778">
              <w:rPr>
                <w:rFonts w:ascii="GHEA Grapalat" w:hAnsi="GHEA Grapalat" w:cs="Sylfaen"/>
                <w:sz w:val="22"/>
                <w:szCs w:val="22"/>
                <w:lang w:val="af-ZA"/>
              </w:rPr>
              <w:t>է</w:t>
            </w: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  <w:p w:rsidR="00BC6503" w:rsidRPr="00A32778" w:rsidRDefault="00BC6503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2. Ընդունվել է:</w:t>
            </w: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="000A21E6" w:rsidRPr="00A32778"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5163" w:type="dxa"/>
          </w:tcPr>
          <w:p w:rsidR="007B5A75" w:rsidRPr="00A32778" w:rsidRDefault="007B5A75" w:rsidP="007B5A7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7B5A7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7B5A75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1.Նախագծում կատարվել են համապատասխան փոփոխություններ:</w:t>
            </w: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2. Նախագծում կատարվել են համապատասխան փոփոխություններ:</w:t>
            </w: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32778" w:rsidRPr="00A32778" w:rsidRDefault="00A32778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B5A75" w:rsidRPr="00A32778" w:rsidRDefault="007B5A75" w:rsidP="00BC6503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32778">
              <w:rPr>
                <w:rFonts w:ascii="GHEA Grapalat" w:hAnsi="GHEA Grapalat"/>
                <w:sz w:val="22"/>
                <w:szCs w:val="22"/>
                <w:lang w:val="af-ZA"/>
              </w:rPr>
              <w:t>3.</w:t>
            </w:r>
            <w:r w:rsidR="000A21E6" w:rsidRPr="00A32778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Նախագծում կատարվել են համապատասխան փոփոխություններ:</w:t>
            </w:r>
          </w:p>
        </w:tc>
      </w:tr>
      <w:tr w:rsidR="00AD0A6B" w:rsidRPr="00AD0A6B" w:rsidTr="004B02C1">
        <w:trPr>
          <w:trHeight w:val="1243"/>
        </w:trPr>
        <w:tc>
          <w:tcPr>
            <w:tcW w:w="2448" w:type="dxa"/>
          </w:tcPr>
          <w:p w:rsidR="00AD0A6B" w:rsidRPr="00A32778" w:rsidRDefault="00AD0A6B" w:rsidP="0037359F">
            <w:pPr>
              <w:tabs>
                <w:tab w:val="left" w:pos="0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lastRenderedPageBreak/>
              <w:t>ՀՀ ֆինանսների նախարարություն</w:t>
            </w:r>
          </w:p>
        </w:tc>
        <w:tc>
          <w:tcPr>
            <w:tcW w:w="5457" w:type="dxa"/>
          </w:tcPr>
          <w:p w:rsidR="00AD0A6B" w:rsidRPr="00AD0A6B" w:rsidRDefault="00AD0A6B" w:rsidP="00AD0A6B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AD0A6B">
              <w:rPr>
                <w:rFonts w:ascii="GHEA Grapalat" w:hAnsi="GHEA Grapalat"/>
                <w:sz w:val="22"/>
                <w:szCs w:val="22"/>
              </w:rPr>
              <w:t>Դատախազական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ծա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ռա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յության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AD0A6B">
              <w:rPr>
                <w:rFonts w:ascii="GHEA Grapalat" w:hAnsi="GHEA Grapalat"/>
                <w:sz w:val="22"/>
                <w:szCs w:val="22"/>
              </w:rPr>
              <w:t>ՀՀ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օրենքի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նա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խա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գծի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թե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ըն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դու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նումը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և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թե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չընդունումը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ՀՀ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պետական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բյուջեի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եկամուտների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վրա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ազ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դեցու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softHyphen/>
            </w:r>
            <w:r w:rsidRPr="00AD0A6B">
              <w:rPr>
                <w:rFonts w:ascii="GHEA Grapalat" w:hAnsi="GHEA Grapalat"/>
                <w:sz w:val="22"/>
                <w:szCs w:val="22"/>
              </w:rPr>
              <w:t>թյուն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չի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թողնում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AD0A6B">
              <w:rPr>
                <w:rFonts w:ascii="GHEA Grapalat" w:hAnsi="GHEA Grapalat"/>
                <w:sz w:val="22"/>
                <w:szCs w:val="22"/>
              </w:rPr>
              <w:t>սակայն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ն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ախա</w:t>
            </w:r>
            <w:r w:rsidRPr="00AD0A6B">
              <w:rPr>
                <w:rFonts w:ascii="GHEA Grapalat" w:hAnsi="GHEA Grapalat"/>
                <w:sz w:val="22"/>
                <w:szCs w:val="22"/>
              </w:rPr>
              <w:t>գ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ծի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>36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>-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րդ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հոդված</w:t>
            </w:r>
            <w:r w:rsidRPr="00AD0A6B">
              <w:rPr>
                <w:rFonts w:ascii="GHEA Grapalat" w:hAnsi="GHEA Grapalat"/>
                <w:sz w:val="22"/>
                <w:szCs w:val="22"/>
              </w:rPr>
              <w:t>ի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2-</w:t>
            </w:r>
            <w:r w:rsidRPr="00AD0A6B">
              <w:rPr>
                <w:rFonts w:ascii="GHEA Grapalat" w:hAnsi="GHEA Grapalat"/>
                <w:sz w:val="22"/>
                <w:szCs w:val="22"/>
              </w:rPr>
              <w:t>րդ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և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3-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րդ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պարբերություններում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ամրագրված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դրույթների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ընդունումը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ՀՀ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պետական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բյուջեում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կառաջացնի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տարեկան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շուրջ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>110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,0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մլն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դրամի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լրացուցիչ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միջոցների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անհրաժեշտություն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իսկ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25-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րդ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հոդվածի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7-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րդ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պարբերության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ընդունումը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ենթադրում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է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նույնպես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լրացուցիչ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միջոցների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հատկացման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անհրաժեշտություն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,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որի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ֆինանսական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գնահատականը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տալ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հնարավոր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չէ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համապատասխան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հաշվարկների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բացակայության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պատճառով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: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Նշված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ծախսերի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ՀՀ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201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թվականի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պետական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  <w:lang w:eastAsia="en-US"/>
              </w:rPr>
              <w:t>բյուջեի</w:t>
            </w:r>
            <w:r w:rsidRPr="00AD0A6B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AD0A6B">
              <w:rPr>
                <w:rFonts w:ascii="GHEA Grapalat" w:hAnsi="GHEA Grapalat"/>
                <w:sz w:val="22"/>
                <w:szCs w:val="22"/>
              </w:rPr>
              <w:t>նախագծով</w:t>
            </w:r>
            <w:r w:rsidRPr="00AD0A6B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AD0A6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AD0A6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AD0A6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ab/>
            </w:r>
          </w:p>
          <w:p w:rsidR="00AD0A6B" w:rsidRPr="00A32778" w:rsidRDefault="00AD0A6B" w:rsidP="0037359F">
            <w:pPr>
              <w:pStyle w:val="BodyText"/>
              <w:spacing w:after="0"/>
              <w:ind w:right="15"/>
              <w:jc w:val="both"/>
              <w:rPr>
                <w:rFonts w:ascii="GHEA Grapalat" w:hAnsi="GHEA Grapalat" w:cs="Arial LatArm"/>
                <w:sz w:val="22"/>
                <w:szCs w:val="22"/>
                <w:lang w:val="af-ZA"/>
              </w:rPr>
            </w:pPr>
          </w:p>
        </w:tc>
        <w:tc>
          <w:tcPr>
            <w:tcW w:w="2142" w:type="dxa"/>
          </w:tcPr>
          <w:p w:rsidR="00AD0A6B" w:rsidRPr="00A32778" w:rsidRDefault="00AD0A6B" w:rsidP="0037359F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Ընդունվել է:</w:t>
            </w:r>
          </w:p>
        </w:tc>
        <w:tc>
          <w:tcPr>
            <w:tcW w:w="5163" w:type="dxa"/>
          </w:tcPr>
          <w:p w:rsidR="00AD0A6B" w:rsidRPr="00AD0A6B" w:rsidRDefault="00AD0A6B" w:rsidP="00AD0A6B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AD0A6B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Նախագծում կատարվել են համապատասխան փոփոխություններ՝ նախատեսելով, որ նախագծի նշված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հոդվածն</w:t>
            </w:r>
            <w:r w:rsidRPr="00AD0A6B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ուժի</w:t>
            </w:r>
            <w:r w:rsidRPr="00AD0A6B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AD0A6B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AD0A6B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մտնում</w:t>
            </w:r>
            <w:r w:rsidRPr="00AD0A6B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2014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AD0A6B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հունվարի</w:t>
            </w:r>
            <w:r w:rsidRPr="00AD0A6B">
              <w:rPr>
                <w:rFonts w:ascii="GHEA Grapalat" w:hAnsi="GHEA Grapalat" w:cs="IRTEK Courier"/>
                <w:sz w:val="22"/>
                <w:szCs w:val="22"/>
                <w:lang w:val="af-ZA"/>
              </w:rPr>
              <w:t xml:space="preserve"> 1-</w:t>
            </w:r>
            <w:r w:rsidRPr="00AD0A6B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AD0A6B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</w:tr>
    </w:tbl>
    <w:p w:rsidR="006E3A0D" w:rsidRPr="00A32778" w:rsidRDefault="006E3A0D" w:rsidP="00862533">
      <w:pPr>
        <w:spacing w:line="360" w:lineRule="auto"/>
        <w:jc w:val="both"/>
        <w:rPr>
          <w:rFonts w:ascii="GHEA Grapalat" w:hAnsi="GHEA Grapalat"/>
          <w:sz w:val="22"/>
          <w:szCs w:val="22"/>
          <w:lang w:val="af-ZA"/>
        </w:rPr>
      </w:pPr>
    </w:p>
    <w:p w:rsidR="006E3A0D" w:rsidRPr="00A32778" w:rsidRDefault="006E3A0D" w:rsidP="00862533">
      <w:pPr>
        <w:spacing w:line="360" w:lineRule="auto"/>
        <w:rPr>
          <w:rFonts w:ascii="GHEA Grapalat" w:hAnsi="GHEA Grapalat"/>
          <w:sz w:val="22"/>
          <w:szCs w:val="22"/>
          <w:lang w:val="af-ZA"/>
        </w:rPr>
      </w:pPr>
    </w:p>
    <w:sectPr w:rsidR="006E3A0D" w:rsidRPr="00A32778" w:rsidSect="008247CB">
      <w:pgSz w:w="16838" w:h="11906" w:orient="landscape"/>
      <w:pgMar w:top="899" w:right="539" w:bottom="107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F24"/>
    <w:multiLevelType w:val="hybridMultilevel"/>
    <w:tmpl w:val="60C02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6A27"/>
    <w:multiLevelType w:val="hybridMultilevel"/>
    <w:tmpl w:val="5C9E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36E0"/>
    <w:multiLevelType w:val="hybridMultilevel"/>
    <w:tmpl w:val="9BB8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B2FF1"/>
    <w:multiLevelType w:val="hybridMultilevel"/>
    <w:tmpl w:val="0DBA0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B6216"/>
    <w:multiLevelType w:val="hybridMultilevel"/>
    <w:tmpl w:val="6E80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C4D72"/>
    <w:multiLevelType w:val="hybridMultilevel"/>
    <w:tmpl w:val="CC289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21F0A"/>
    <w:multiLevelType w:val="hybridMultilevel"/>
    <w:tmpl w:val="E282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64E1A"/>
    <w:multiLevelType w:val="hybridMultilevel"/>
    <w:tmpl w:val="1050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B7E57"/>
    <w:multiLevelType w:val="hybridMultilevel"/>
    <w:tmpl w:val="029A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611E6"/>
    <w:multiLevelType w:val="hybridMultilevel"/>
    <w:tmpl w:val="BD9A3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815F3"/>
    <w:rsid w:val="00002E65"/>
    <w:rsid w:val="00025F95"/>
    <w:rsid w:val="00051176"/>
    <w:rsid w:val="0009491B"/>
    <w:rsid w:val="00095DAB"/>
    <w:rsid w:val="000A21E6"/>
    <w:rsid w:val="000D0C63"/>
    <w:rsid w:val="000D4772"/>
    <w:rsid w:val="0012647E"/>
    <w:rsid w:val="0012758F"/>
    <w:rsid w:val="00184699"/>
    <w:rsid w:val="001A7A5D"/>
    <w:rsid w:val="001B39DA"/>
    <w:rsid w:val="001C0D37"/>
    <w:rsid w:val="001F326E"/>
    <w:rsid w:val="002343F9"/>
    <w:rsid w:val="002633B8"/>
    <w:rsid w:val="002D2C7A"/>
    <w:rsid w:val="002F5226"/>
    <w:rsid w:val="00307309"/>
    <w:rsid w:val="003309E4"/>
    <w:rsid w:val="0037359F"/>
    <w:rsid w:val="00383CD4"/>
    <w:rsid w:val="00395AEA"/>
    <w:rsid w:val="003D01C4"/>
    <w:rsid w:val="003D2364"/>
    <w:rsid w:val="003E14FC"/>
    <w:rsid w:val="003E3D1A"/>
    <w:rsid w:val="003E7C39"/>
    <w:rsid w:val="003F5F09"/>
    <w:rsid w:val="00400A9D"/>
    <w:rsid w:val="004332C6"/>
    <w:rsid w:val="0048100F"/>
    <w:rsid w:val="00494F68"/>
    <w:rsid w:val="00496C5B"/>
    <w:rsid w:val="004B02C1"/>
    <w:rsid w:val="005A1202"/>
    <w:rsid w:val="005E48EC"/>
    <w:rsid w:val="005F0479"/>
    <w:rsid w:val="005F2730"/>
    <w:rsid w:val="005F5034"/>
    <w:rsid w:val="00615997"/>
    <w:rsid w:val="0062124F"/>
    <w:rsid w:val="00644D19"/>
    <w:rsid w:val="00661397"/>
    <w:rsid w:val="00661ED5"/>
    <w:rsid w:val="006B02A6"/>
    <w:rsid w:val="006B1FB2"/>
    <w:rsid w:val="006C7DA4"/>
    <w:rsid w:val="006D05C9"/>
    <w:rsid w:val="006E3A0D"/>
    <w:rsid w:val="00714F23"/>
    <w:rsid w:val="00743D30"/>
    <w:rsid w:val="00756B03"/>
    <w:rsid w:val="00781B84"/>
    <w:rsid w:val="00783BD2"/>
    <w:rsid w:val="007B5A75"/>
    <w:rsid w:val="007E0ED6"/>
    <w:rsid w:val="00810EFD"/>
    <w:rsid w:val="008214FB"/>
    <w:rsid w:val="008247CB"/>
    <w:rsid w:val="00853A3C"/>
    <w:rsid w:val="00857D75"/>
    <w:rsid w:val="00862533"/>
    <w:rsid w:val="00865B71"/>
    <w:rsid w:val="008C1314"/>
    <w:rsid w:val="0091604F"/>
    <w:rsid w:val="009423C2"/>
    <w:rsid w:val="009969D9"/>
    <w:rsid w:val="009F0FD9"/>
    <w:rsid w:val="00A03FEC"/>
    <w:rsid w:val="00A32778"/>
    <w:rsid w:val="00A46761"/>
    <w:rsid w:val="00A650BF"/>
    <w:rsid w:val="00A73D68"/>
    <w:rsid w:val="00A84000"/>
    <w:rsid w:val="00A93AF0"/>
    <w:rsid w:val="00AD0A6B"/>
    <w:rsid w:val="00B145C7"/>
    <w:rsid w:val="00B735D1"/>
    <w:rsid w:val="00B92C8C"/>
    <w:rsid w:val="00B97B7D"/>
    <w:rsid w:val="00BB579C"/>
    <w:rsid w:val="00BC1476"/>
    <w:rsid w:val="00BC6503"/>
    <w:rsid w:val="00C22BF2"/>
    <w:rsid w:val="00C50CF6"/>
    <w:rsid w:val="00C525F9"/>
    <w:rsid w:val="00C86434"/>
    <w:rsid w:val="00CB2AC6"/>
    <w:rsid w:val="00CC1E6B"/>
    <w:rsid w:val="00CD662F"/>
    <w:rsid w:val="00CE1120"/>
    <w:rsid w:val="00CE1470"/>
    <w:rsid w:val="00CE2369"/>
    <w:rsid w:val="00CF29D6"/>
    <w:rsid w:val="00D05F37"/>
    <w:rsid w:val="00D21E76"/>
    <w:rsid w:val="00D32CC2"/>
    <w:rsid w:val="00D507E6"/>
    <w:rsid w:val="00D93CBA"/>
    <w:rsid w:val="00DB4AD0"/>
    <w:rsid w:val="00E4656F"/>
    <w:rsid w:val="00E54377"/>
    <w:rsid w:val="00E612EF"/>
    <w:rsid w:val="00EC14BE"/>
    <w:rsid w:val="00EE274F"/>
    <w:rsid w:val="00EF04A8"/>
    <w:rsid w:val="00F1359C"/>
    <w:rsid w:val="00F80DC3"/>
    <w:rsid w:val="00F815F3"/>
    <w:rsid w:val="00F8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5F3"/>
    <w:pPr>
      <w:autoSpaceDE w:val="0"/>
      <w:autoSpaceDN w:val="0"/>
      <w:adjustRightInd w:val="0"/>
    </w:pPr>
    <w:rPr>
      <w:rFonts w:ascii="Times Armenian" w:hAnsi="Times Armenian" w:cs="Times Armeni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815F3"/>
    <w:pPr>
      <w:autoSpaceDE/>
      <w:autoSpaceDN/>
      <w:adjustRightInd/>
      <w:spacing w:after="120"/>
    </w:pPr>
    <w:rPr>
      <w:rFonts w:ascii="Arial Armenian" w:hAnsi="Arial Armenian" w:cs="Times New Roman"/>
      <w:sz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815F3"/>
    <w:rPr>
      <w:rFonts w:ascii="Arial Armenian" w:hAnsi="Arial Armenian" w:cs="Times New Roman"/>
      <w:sz w:val="24"/>
      <w:szCs w:val="24"/>
      <w:lang w:val="en-GB" w:eastAsia="en-US"/>
    </w:rPr>
  </w:style>
  <w:style w:type="character" w:customStyle="1" w:styleId="apple-style-span">
    <w:name w:val="apple-style-span"/>
    <w:basedOn w:val="DefaultParagraphFont"/>
    <w:uiPriority w:val="99"/>
    <w:rsid w:val="00F815F3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EE274F"/>
    <w:rPr>
      <w:i/>
      <w:iCs/>
    </w:rPr>
  </w:style>
  <w:style w:type="character" w:customStyle="1" w:styleId="apple-converted-space">
    <w:name w:val="apple-converted-space"/>
    <w:basedOn w:val="DefaultParagraphFont"/>
    <w:rsid w:val="00B97B7D"/>
  </w:style>
  <w:style w:type="paragraph" w:styleId="ListParagraph">
    <w:name w:val="List Paragraph"/>
    <w:basedOn w:val="Normal"/>
    <w:uiPriority w:val="34"/>
    <w:qFormat/>
    <w:rsid w:val="00494F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4F68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137C-1DAA-44A8-8EA1-E6BBD61A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Ministry of Justice of the Republic of Armenia</cp:lastModifiedBy>
  <cp:revision>6</cp:revision>
  <cp:lastPrinted>2012-12-20T05:47:00Z</cp:lastPrinted>
  <dcterms:created xsi:type="dcterms:W3CDTF">2012-12-24T12:18:00Z</dcterms:created>
  <dcterms:modified xsi:type="dcterms:W3CDTF">2013-01-25T13:01:00Z</dcterms:modified>
</cp:coreProperties>
</file>