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0F" w:rsidRDefault="00EC450F" w:rsidP="00EC450F">
      <w:pPr>
        <w:spacing w:after="0" w:line="240" w:lineRule="auto"/>
        <w:ind w:firstLine="708"/>
        <w:jc w:val="center"/>
        <w:rPr>
          <w:rFonts w:ascii="GHEA Grapalat" w:hAnsi="GHEA Grapalat" w:cs="Sylfaen"/>
          <w:b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b/>
          <w:color w:val="222222"/>
          <w:sz w:val="24"/>
          <w:szCs w:val="24"/>
          <w:shd w:val="clear" w:color="auto" w:fill="FFFFFF"/>
          <w:lang w:val="hy-AM"/>
        </w:rPr>
        <w:t>ՏԵՂԵԿԱՆՔ</w:t>
      </w:r>
    </w:p>
    <w:p w:rsidR="00EC450F" w:rsidRPr="00EC450F" w:rsidRDefault="00EC450F" w:rsidP="00EC450F">
      <w:pPr>
        <w:spacing w:after="0" w:line="240" w:lineRule="auto"/>
        <w:ind w:firstLine="708"/>
        <w:jc w:val="center"/>
        <w:rPr>
          <w:rFonts w:ascii="GHEA Grapalat" w:hAnsi="GHEA Grapalat" w:cs="Sylfaen"/>
          <w:b/>
          <w:color w:val="222222"/>
          <w:sz w:val="24"/>
          <w:szCs w:val="24"/>
          <w:shd w:val="clear" w:color="auto" w:fill="FFFFFF"/>
        </w:rPr>
      </w:pPr>
    </w:p>
    <w:p w:rsidR="00EC450F" w:rsidRPr="00EC450F" w:rsidRDefault="00EC450F" w:rsidP="00EC450F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eastAsia="fr-FR"/>
        </w:rPr>
        <w:t>«</w:t>
      </w: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ՀԱՏՈՒԿ ՔՆՆՉԱԿԱՆ ԾԱՌԱՅՈՒԹՅԱՆ, ՀԱՅԱՍՏԱՆԻ ՀԱՆՐԱՊԵՏՈՒԹՅԱՆ ՔՆՆՉԱԿԱՆ ԿՈՄԻՏԵԻ ԾԱՌԱՅՈՂԻ ՊԱՇՏՈՆՈՒՄ ՆՇԱՆԱԿՄԱՆԸ  ԽՈՉԸՆԴՈՏՈՂ ՖԻԶԻԿԱԿԱՆ ԱՐԱՏՆԵՐԻ ԵՎ ՀԻՎԱՆԴՈՒԹՅՈՒՆՆԵՐԻ ՑԱՆԿԸ</w:t>
      </w:r>
      <w:r w:rsidRPr="00AE18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,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ՀԱՏՈՒԿ ՔՆՆՉԱԿԱՆ ԾԱՌԱՅՈՒԹՅԱՆ, ՀԱՅԱՍՏԱՆԻ 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ՀԱՆ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ՐԱՊԵՏՈՒԹՅԱՆ ՔՆՆՉԱԿԱՆ ԿՈՄԻՏԵԻ ԾԱՌԱՅՈՂԻ ՊԱՇՏՈՆՈՒՄ ՆՇԱՆԱԿՄԱՆԸ ԽՈՉԸՆԴՈՏՈՂ ՖԻԶԻԿԱԿԱՆ ԱՐԱՏՆԵՐԻ ԵՎ ՀԻՎԱՆԴՈՒԹՅՈՒՆՆԵՐԻ </w:t>
      </w:r>
      <w:r w:rsidR="00867686">
        <w:rPr>
          <w:rFonts w:ascii="GHEA Grapalat" w:hAnsi="GHEA Grapalat" w:cs="Sylfaen"/>
          <w:b/>
          <w:bCs/>
          <w:sz w:val="24"/>
          <w:szCs w:val="24"/>
          <w:lang w:eastAsia="fr-FR"/>
        </w:rPr>
        <w:t xml:space="preserve">ԱՌԿԱՅՈՒԹՅԱՆ ԿԱՄ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ԲԱՑԱԿԱՅՈՒԹՅԱՆ ՎԵՐԱԲԵՐՅԱԼ ՏԵՂԵԿԱՆՔ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Ի ՁԵՎԸ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867686">
        <w:rPr>
          <w:rFonts w:ascii="GHEA Grapalat" w:hAnsi="GHEA Grapalat" w:cs="Sylfaen"/>
          <w:b/>
          <w:bCs/>
          <w:sz w:val="24"/>
          <w:szCs w:val="24"/>
          <w:lang w:eastAsia="fr-FR"/>
        </w:rPr>
        <w:t>ՍԱՀՄԱՆԵԼՈՒ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, ՀԱՅԱՍՏԱՆԻ ՀԱՆՐԱՊԵՏՈՒԹՅԱՆ ԿԱՌԱՎԱՐՈՒԹՅԱՆ 2008 ԹՎԱԿԱՆԻ 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ՓԵՏՐՎԱՐԻ 13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-Ի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N 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>143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-Ն ՈՐՈՇՈՒՄՆ ՈՒԺԸ ԿՈՐՑՐԱԾ ՃԱՆԱՉԵԼՈՒ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ՄԱՍԻՆ</w:t>
      </w:r>
      <w:r w:rsidRPr="00C374A7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» ԵՎ «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ՀԱՅԱՍՏԱՆԻ ՀԱՆՐԱՊԵՏՈՒԹՅԱՆ ՔՆՆՉԱԿԱՆ ԿՈՄԻՏԵԻ ԴԵՊԱՐՏԱՄԵՆՏԻ ՊԵՏԱԿԱՆ ԾԱՌԱՅՈՂԻ ՊԱՇՏՈՆՈՒՄ  ՆՇԱՆԱԿՄԱՆԸ  ԽՈՉԸՆԴՈՏՈՂ ՀԻՎԱՆԴՈՒԹՅՈՒՆՆԵՐԻ ՑԱՆԿԸ ԵՎ ՀԱՅԱՍՏԱՆԻ </w:t>
      </w:r>
      <w:r>
        <w:rPr>
          <w:rFonts w:ascii="GHEA Grapalat" w:hAnsi="GHEA Grapalat" w:cs="Sylfaen"/>
          <w:b/>
          <w:sz w:val="24"/>
          <w:szCs w:val="24"/>
          <w:lang w:val="hy-AM" w:eastAsia="fr-FR"/>
        </w:rPr>
        <w:t>ՀԱՆ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ՐԱՊԵՏՈՒԹՅԱՆ ՔՆՆՉԱԿԱՆ ԿՈՄԻՏԵԻ ԴԵՊԱՐՏԱՄԵՆՏԻ ՊԵՏԱԿԱՆ ԾԱՌԱՅՈՂԻ ՊԱՇՏՈՆՈՒՄ ՆՇԱՆԱԿՄԱՆԸ ԽՈՉԸՆԴՈՏՈՂ ՀԻՎԱՆԴՈՒԹՅՈՒՆՆԵՐԻ </w:t>
      </w:r>
      <w:r w:rsidR="00867686">
        <w:rPr>
          <w:rFonts w:ascii="GHEA Grapalat" w:hAnsi="GHEA Grapalat" w:cs="Sylfaen"/>
          <w:b/>
          <w:sz w:val="24"/>
          <w:szCs w:val="24"/>
          <w:lang w:eastAsia="fr-FR"/>
        </w:rPr>
        <w:t xml:space="preserve">ԱՌԿԱՅՈՒԹՅԱՆ ԿԱՄ 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>ԲԱՑԱԿԱՅՈՒԹՅԱՆ ՎԵՐԱԲԵՐՅԱԼ ՏԵՂԵԿԱՆՔ</w:t>
      </w:r>
      <w:r>
        <w:rPr>
          <w:rFonts w:ascii="GHEA Grapalat" w:hAnsi="GHEA Grapalat" w:cs="Sylfaen"/>
          <w:b/>
          <w:sz w:val="24"/>
          <w:szCs w:val="24"/>
          <w:lang w:eastAsia="fr-FR"/>
        </w:rPr>
        <w:t>Ի ՁԵՎԸ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eastAsia="fr-FR"/>
        </w:rPr>
        <w:t>ՀԱՍՏԱՏԵԼՈՒ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ՄԱՍԻՆ</w:t>
      </w:r>
      <w:r w:rsidRPr="00C374A7">
        <w:rPr>
          <w:rFonts w:ascii="GHEA Grapalat" w:hAnsi="GHEA Grapalat" w:cs="Sylfaen"/>
          <w:b/>
          <w:sz w:val="24"/>
          <w:szCs w:val="24"/>
          <w:lang w:val="hy-AM" w:eastAsia="fr-FR"/>
        </w:rPr>
        <w:t>» ՀԱՅԱՍՏԱՆԻ ՀԱՆՐԱՊԵՏՈՒԹՅԱՆ ԿԱՌԱՎԱՐՈՒԹՅԱՆ ՈՐՈՇՈՒՄՆԵՐԻ ՆԱԽԱԳԾԵՐԻ ԸՆԴՈՒՆՄԱՆ</w:t>
      </w:r>
      <w:r>
        <w:rPr>
          <w:rFonts w:ascii="GHEA Grapalat" w:hAnsi="GHEA Grapalat" w:cs="Sylfaen"/>
          <w:b/>
          <w:bCs/>
          <w:sz w:val="24"/>
          <w:szCs w:val="24"/>
          <w:lang w:eastAsia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ԱՌՆՉՈՒԹՅԱՄԲ ԱՅԼ ԻՐԱՎԱԿԱՆ ԱԿՏԵՐՈՒՄ ՓՈՓՈԽՈՒԹՅՈՒՆՆԵՐԻ ԿԱՄ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ԴՐԱՆՑ ԸՆԴՈՒՆՄԱՆ ԱՆՀՐԱԺԵՇՏՈՒԹՅԱՆ ԲԱՑԱԿԱՅՈՒԹՅԱՆ ՄԱՍԻՆ</w:t>
      </w:r>
    </w:p>
    <w:p w:rsidR="00EC450F" w:rsidRPr="00EC450F" w:rsidRDefault="00EC450F" w:rsidP="00EC450F">
      <w:pPr>
        <w:spacing w:after="0" w:line="360" w:lineRule="auto"/>
        <w:jc w:val="center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</w:p>
    <w:p w:rsidR="00EC450F" w:rsidRDefault="00EC450F" w:rsidP="00EC450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Հատուկ քննչական ծառայության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,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 ծառայողի պաշտոնում նշանակմանը խոչընդոտող ֆիզիկական արատների և հիվանդությունների ցանկը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,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Հատուկ քննչական ծառայության</w:t>
      </w:r>
      <w:r w:rsidRPr="009D010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,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</w:t>
      </w:r>
      <w:r w:rsidRPr="009D010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ծառայողի պաշտոնում նշանակմանը խոչընդոտող ֆիզիկական արատների և հիվանդությունների </w:t>
      </w:r>
      <w:r w:rsidR="00867686" w:rsidRPr="00867686">
        <w:rPr>
          <w:rFonts w:ascii="GHEA Grapalat" w:hAnsi="GHEA Grapalat" w:cs="Sylfaen"/>
          <w:sz w:val="24"/>
          <w:szCs w:val="24"/>
          <w:lang w:val="hy-AM" w:eastAsia="fr-FR"/>
        </w:rPr>
        <w:t xml:space="preserve">առկայության կամ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բացակայության վերաբերյալ տեղեկանքի ձևը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867686" w:rsidRPr="00867686">
        <w:rPr>
          <w:rFonts w:ascii="GHEA Grapalat" w:hAnsi="GHEA Grapalat" w:cs="Sylfaen"/>
          <w:sz w:val="24"/>
          <w:szCs w:val="24"/>
          <w:lang w:val="hy-AM" w:eastAsia="fr-FR"/>
        </w:rPr>
        <w:t>սահմանելո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ւ, 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Հայաստանի Հանրապետության կառավարության 2008 թվականի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փետրվարի</w:t>
      </w:r>
      <w:r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13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-ի</w:t>
      </w:r>
      <w:r>
        <w:rPr>
          <w:rFonts w:ascii="GHEA Grapalat" w:hAnsi="GHEA Grapalat" w:cs="Sylfaen"/>
          <w:sz w:val="24"/>
          <w:szCs w:val="24"/>
          <w:lang w:val="hy-AM" w:eastAsia="fr-FR"/>
        </w:rPr>
        <w:t xml:space="preserve"> N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143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-Ն </w:t>
      </w:r>
      <w:r>
        <w:rPr>
          <w:rFonts w:ascii="GHEA Grapalat" w:hAnsi="GHEA Grapalat" w:cs="Sylfaen"/>
          <w:sz w:val="24"/>
          <w:szCs w:val="24"/>
          <w:lang w:val="hy-AM" w:eastAsia="fr-FR"/>
        </w:rPr>
        <w:t>որոշում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>ն ուժը կորցրած ճանաչելու մասին</w:t>
      </w:r>
      <w:r w:rsidR="008B1523">
        <w:rPr>
          <w:rFonts w:ascii="GHEA Grapalat" w:hAnsi="GHEA Grapalat" w:cs="Sylfaen"/>
          <w:sz w:val="24"/>
          <w:szCs w:val="24"/>
          <w:lang w:val="hy-AM" w:eastAsia="fr-FR"/>
        </w:rPr>
        <w:t>»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 և «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Հայաստանի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lastRenderedPageBreak/>
        <w:t xml:space="preserve">Հանրապետության քննչական կոմիտեի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դեպարտամենտի պետական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ծառայողի պաշտոնում նշանակմանը խոչընդոտող հիվանդությունների ցանկը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և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Հայաստանի Հանրապետության քննչական կոմիտեի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դեպարտամենտի պետական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ծառայողի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պաշտոնում նշանակմանը խոչընդոտող հիվանդությունների</w:t>
      </w:r>
      <w:r w:rsidR="00867686" w:rsidRPr="00867686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առկայության կամ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բացակայության վերաբերյալ տեղեկանքի</w:t>
      </w:r>
      <w:r w:rsidR="00CE51CF" w:rsidRPr="00CE51CF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ձևը հաստատելու մասին» </w:t>
      </w:r>
      <w:r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Հայաստանի Հանրապետության </w:t>
      </w:r>
      <w:r w:rsidRPr="00F84AFE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կառավարության որոշումների</w:t>
      </w:r>
      <w:r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նախագծե</w:t>
      </w:r>
      <w:r w:rsidRPr="00EC450F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րի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hy-AM"/>
        </w:rPr>
        <w:t xml:space="preserve"> այլ իրավական ակտեր ընդունելու անհրաժեշտությունը բացակայում է:</w:t>
      </w:r>
    </w:p>
    <w:p w:rsidR="00EC450F" w:rsidRDefault="00EC450F" w:rsidP="00EC450F">
      <w:pPr>
        <w:spacing w:after="0" w:line="360" w:lineRule="auto"/>
        <w:ind w:firstLine="708"/>
        <w:jc w:val="both"/>
        <w:rPr>
          <w:rFonts w:ascii="GHEA Grapalat" w:eastAsiaTheme="minorHAnsi" w:hAnsi="GHEA Grapalat" w:cs="Sylfaen"/>
          <w:color w:val="222222"/>
          <w:sz w:val="24"/>
          <w:szCs w:val="24"/>
          <w:shd w:val="clear" w:color="auto" w:fill="FFFFFF"/>
          <w:lang w:val="hy-AM"/>
        </w:rPr>
      </w:pPr>
    </w:p>
    <w:p w:rsidR="00EC450F" w:rsidRPr="00EC450F" w:rsidRDefault="00EC450F" w:rsidP="00EC450F">
      <w:pPr>
        <w:spacing w:after="0" w:line="360" w:lineRule="auto"/>
        <w:jc w:val="both"/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</w:pPr>
    </w:p>
    <w:p w:rsidR="00EC450F" w:rsidRDefault="00EC450F" w:rsidP="00EC450F">
      <w:pPr>
        <w:spacing w:after="0" w:line="360" w:lineRule="auto"/>
        <w:ind w:firstLine="708"/>
        <w:jc w:val="both"/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</w:pPr>
    </w:p>
    <w:p w:rsidR="00EC450F" w:rsidRDefault="00EC450F" w:rsidP="00EC450F">
      <w:pPr>
        <w:spacing w:after="0" w:line="360" w:lineRule="auto"/>
        <w:ind w:firstLine="708"/>
        <w:jc w:val="center"/>
        <w:rPr>
          <w:rFonts w:ascii="GHEA Grapalat" w:hAnsi="GHEA Grapalat" w:cs="Sylfaen"/>
          <w:b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color w:val="222222"/>
          <w:sz w:val="24"/>
          <w:szCs w:val="24"/>
          <w:shd w:val="clear" w:color="auto" w:fill="FFFFFF"/>
          <w:lang w:val="hy-AM"/>
        </w:rPr>
        <w:t>ՏԵՂԵԿԱՆՔ</w:t>
      </w:r>
    </w:p>
    <w:p w:rsidR="00EC450F" w:rsidRDefault="008B1523" w:rsidP="00EC450F">
      <w:pPr>
        <w:spacing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1523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«</w:t>
      </w: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ՀԱՏՈՒԿ ՔՆՆՉԱԿԱՆ ԾԱՌԱՅՈՒԹՅԱՆ, ՀԱՅԱՍՏԱՆԻ ՀԱՆՐԱՊԵՏՈՒԹՅԱՆ ՔՆՆՉԱԿԱՆ ԿՈՄԻՏԵԻ ԾԱՌԱՅՈՂԻ ՊԱՇՏՈՆՈՒՄ ՆՇԱՆԱԿՄԱՆԸ  ԽՈՉԸՆԴՈՏՈՂ ՖԻԶԻԿԱԿԱՆ ԱՐԱՏՆԵՐԻ ԵՎ ՀԻՎԱՆԴՈՒԹՅՈՒՆՆԵՐԻ ՑԱՆԿԸ</w:t>
      </w:r>
      <w:r w:rsidRPr="00AE18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,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ՀԱՏՈՒԿ ՔՆՆՉԱԿԱՆ ԾԱՌԱՅՈՒԹՅԱՆ, ՀԱՅԱՍՏԱՆԻ 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ՀԱՆ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ՐԱՊԵՏՈՒԹՅԱՆ ՔՆՆՉԱԿԱՆ ԿՈՄԻՏԵԻ ԾԱՌԱՅՈՂԻ ՊԱՇՏՈՆՈՒՄ ՆՇԱՆԱԿՄԱՆԸ ԽՈՉԸՆԴՈՏՈՂ ՖԻԶԻԿԱԿԱՆ ԱՐԱՏՆԵՐԻ ԵՎ ՀԻՎԱՆԴՈՒԹՅՈՒՆՆԵՐԻ </w:t>
      </w:r>
      <w:r w:rsidR="00867686" w:rsidRPr="0086768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ԱՌԿԱՅՈՒԹՅԱՆ ԿԱՄ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ԲԱՑԱԿԱՅՈՒԹՅԱՆ ՎԵՐԱԲԵՐՅԱԼ ՏԵՂԵԿԱՆՔ</w:t>
      </w:r>
      <w:r w:rsidRPr="008B1523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Ի ՁԵՎԸ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867686" w:rsidRPr="0086768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ՍԱՀՄԱՆԵԼՈՒ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, ՀԱՅԱՍՏԱՆԻ ՀԱՆՐԱՊԵՏՈՒԹՅԱՆ ԿԱՌԱՎԱՐՈՒԹՅԱՆ 2008 ԹՎԱԿԱՆԻ </w:t>
      </w:r>
      <w:r w:rsidRPr="008B1523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ՓԵՏՐՎԱՐԻ 13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-Ի</w:t>
      </w:r>
      <w:r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N </w:t>
      </w:r>
      <w:r w:rsidRPr="008B1523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143</w:t>
      </w:r>
      <w:r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-Ն ՈՐՈՇՈՒՄՆ ՈՒԺԸ ԿՈՐՑՐԱԾ ՃԱՆԱՉԵԼՈՒ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ՄԱՍԻՆ</w:t>
      </w:r>
      <w:r w:rsidRPr="00C374A7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» ԵՎ «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ՀԱՅԱՍՏԱՆԻ ՀԱՆՐԱՊԵՏՈՒԹՅԱՆ ՔՆՆՉԱԿԱՆ ԿՈՄԻՏԵԻ ԴԵՊԱՐՏԱՄԵՆՏԻ ՊԵՏԱԿԱՆ ԾԱՌԱՅՈՂԻ ՊԱՇՏՈՆՈՒՄ  ՆՇԱՆԱԿՄԱՆԸ  ԽՈՉԸՆԴՈՏՈՂ ՀԻՎԱՆԴՈՒԹՅՈՒՆՆԵՐԻ ՑԱՆԿԸ ԵՎ ՀԱՅԱՍՏԱՆԻ </w:t>
      </w:r>
      <w:r>
        <w:rPr>
          <w:rFonts w:ascii="GHEA Grapalat" w:hAnsi="GHEA Grapalat" w:cs="Sylfaen"/>
          <w:b/>
          <w:sz w:val="24"/>
          <w:szCs w:val="24"/>
          <w:lang w:val="hy-AM" w:eastAsia="fr-FR"/>
        </w:rPr>
        <w:t>ՀԱՆ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ՐԱՊԵՏՈՒԹՅԱՆ ՔՆՆՉԱԿԱՆ ԿՈՄԻՏԵԻ ԴԵՊԱՐՏԱՄԵՆՏԻ ՊԵՏԱԿԱՆ ԾԱՌԱՅՈՂԻ ՊԱՇՏՈՆՈՒՄ ՆՇԱՆԱԿՄԱՆԸ ԽՈՉԸՆԴՈՏՈՂ ՀԻՎԱՆԴՈՒԹՅՈՒՆՆԵՐԻ </w:t>
      </w:r>
      <w:r w:rsidR="00867686" w:rsidRPr="00867686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ԱՌԿԱՅՈՒԹՅԱՆ ԿԱՄ 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>ԲԱՑԱԿԱՅՈՒԹՅԱՆ ՎԵՐԱԲԵՐՅԱԼ ՏԵՂԵԿԱՆՔ</w:t>
      </w:r>
      <w:r w:rsidRPr="008B1523">
        <w:rPr>
          <w:rFonts w:ascii="GHEA Grapalat" w:hAnsi="GHEA Grapalat" w:cs="Sylfaen"/>
          <w:b/>
          <w:sz w:val="24"/>
          <w:szCs w:val="24"/>
          <w:lang w:val="hy-AM" w:eastAsia="fr-FR"/>
        </w:rPr>
        <w:t>Ի ՁԵՎԸ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</w:t>
      </w:r>
      <w:r w:rsidRPr="008B1523">
        <w:rPr>
          <w:rFonts w:ascii="GHEA Grapalat" w:hAnsi="GHEA Grapalat" w:cs="Sylfaen"/>
          <w:b/>
          <w:sz w:val="24"/>
          <w:szCs w:val="24"/>
          <w:lang w:val="hy-AM" w:eastAsia="fr-FR"/>
        </w:rPr>
        <w:t>ՀԱՍՏԱՏԵԼՈՒ</w:t>
      </w:r>
      <w:r w:rsidRPr="0030165A">
        <w:rPr>
          <w:rFonts w:ascii="GHEA Grapalat" w:hAnsi="GHEA Grapalat" w:cs="Sylfaen"/>
          <w:b/>
          <w:sz w:val="24"/>
          <w:szCs w:val="24"/>
          <w:lang w:val="hy-AM" w:eastAsia="fr-FR"/>
        </w:rPr>
        <w:t xml:space="preserve"> ՄԱՍԻՆ</w:t>
      </w:r>
      <w:r w:rsidRPr="00C374A7">
        <w:rPr>
          <w:rFonts w:ascii="GHEA Grapalat" w:hAnsi="GHEA Grapalat" w:cs="Sylfaen"/>
          <w:b/>
          <w:sz w:val="24"/>
          <w:szCs w:val="24"/>
          <w:lang w:val="hy-AM" w:eastAsia="fr-FR"/>
        </w:rPr>
        <w:t>» ՀԱՅԱՍՏԱՆԻ ՀԱՆՐԱՊԵՏՈՒԹՅԱՆ ԿԱՌԱՎԱՐՈՒԹՅԱՆ ՈՐՈՇՈՒՄՆԵՐԻ ՆԱԽԱԳԾԵՐԻ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450F">
        <w:rPr>
          <w:rFonts w:ascii="GHEA Grapalat" w:hAnsi="GHEA Grapalat"/>
          <w:b/>
          <w:sz w:val="24"/>
          <w:szCs w:val="24"/>
          <w:lang w:val="hy-AM"/>
        </w:rPr>
        <w:t xml:space="preserve">ԸՆԴՈՒՆԵԼՈՒ ԴԵՊՔՈՒՄ </w:t>
      </w:r>
      <w:r w:rsidR="00EC450F">
        <w:rPr>
          <w:rFonts w:ascii="GHEA Grapalat" w:hAnsi="GHEA Grapalat" w:cs="Sylfaen"/>
          <w:b/>
          <w:sz w:val="24"/>
          <w:szCs w:val="24"/>
          <w:lang w:val="hy-AM"/>
        </w:rPr>
        <w:t xml:space="preserve">ՊԵՏԱԿԱՆ ԿԱՄ ՏԵՂԱԿԱՆ ԻՆՔՆԱԿԱՌԱՎԱՐՄԱՆ ՄԱՐՄԻՆՆԵՐԻ </w:t>
      </w:r>
      <w:r w:rsidR="00EC450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ԲՅՈՒՋԵՆԵՐՈՒՄ ԾԱԽՍԵՐԻ և ԵԿԱՄՈՒՏՆԵՐԻ ԷԱԿԱՆ ԱՎԵԼԱՑՈՒՄՆԵՐԻ ԿԱՄ ՆՎԱԶԵՑՈՒՄՆԵՐԻ ՄԱՍԻՆ</w:t>
      </w:r>
      <w:r w:rsidR="00EC450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C450F" w:rsidRDefault="00EC450F" w:rsidP="00EC450F">
      <w:pPr>
        <w:spacing w:after="0" w:line="360" w:lineRule="auto"/>
        <w:ind w:firstLine="708"/>
        <w:jc w:val="center"/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</w:pPr>
    </w:p>
    <w:tbl>
      <w:tblPr>
        <w:tblW w:w="938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82"/>
      </w:tblGrid>
      <w:tr w:rsidR="00EC450F" w:rsidRPr="00867686" w:rsidTr="00EC450F">
        <w:trPr>
          <w:tblCellSpacing w:w="0" w:type="dxa"/>
          <w:jc w:val="center"/>
        </w:trPr>
        <w:tc>
          <w:tcPr>
            <w:tcW w:w="9382" w:type="dxa"/>
            <w:vAlign w:val="center"/>
            <w:hideMark/>
          </w:tcPr>
          <w:p w:rsidR="00EC450F" w:rsidRPr="00EC450F" w:rsidRDefault="00EC450F">
            <w:pPr>
              <w:rPr>
                <w:rFonts w:eastAsiaTheme="minorEastAsia"/>
                <w:lang w:val="hy-AM" w:eastAsia="ru-RU"/>
              </w:rPr>
            </w:pPr>
          </w:p>
        </w:tc>
      </w:tr>
    </w:tbl>
    <w:p w:rsidR="00EC450F" w:rsidRPr="00D81702" w:rsidRDefault="008B1523" w:rsidP="00EC45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Հատուկ քննչական ծառայության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,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 ծառայողի պաշտոնում նշանակմանը խոչընդոտող ֆիզիկական արատների և հիվանդությունների ցանկը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,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Հատուկ քննչական ծառայության</w:t>
      </w:r>
      <w:r w:rsidRPr="009D010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,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Հայաստանի Հանրապետության քննչական կոմիտեի</w:t>
      </w:r>
      <w:r w:rsidRPr="009D0100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ծառայողի պաշտոնում նշանակմանը խոչընդոտող ֆիզիկական արատների և հիվանդությունների </w:t>
      </w:r>
      <w:r w:rsidR="00E75390" w:rsidRPr="00E75390">
        <w:rPr>
          <w:rFonts w:ascii="GHEA Grapalat" w:hAnsi="GHEA Grapalat" w:cs="Sylfaen"/>
          <w:sz w:val="24"/>
          <w:szCs w:val="24"/>
          <w:lang w:val="hy-AM" w:eastAsia="fr-FR"/>
        </w:rPr>
        <w:t xml:space="preserve">առկայության կամ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բացակայության վերաբերյալ տեղեկանքի ձևը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E75390" w:rsidRPr="00E75390">
        <w:rPr>
          <w:rFonts w:ascii="GHEA Grapalat" w:hAnsi="GHEA Grapalat" w:cs="Sylfaen"/>
          <w:sz w:val="24"/>
          <w:szCs w:val="24"/>
          <w:lang w:val="hy-AM" w:eastAsia="fr-FR"/>
        </w:rPr>
        <w:t>սահմանելու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, 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Հայաստանի Հանրապետության կառավարության 2008 թվականի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փետրվարի</w:t>
      </w:r>
      <w:r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13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-ի</w:t>
      </w:r>
      <w:r>
        <w:rPr>
          <w:rFonts w:ascii="GHEA Grapalat" w:hAnsi="GHEA Grapalat" w:cs="Sylfaen"/>
          <w:sz w:val="24"/>
          <w:szCs w:val="24"/>
          <w:lang w:val="hy-AM" w:eastAsia="fr-FR"/>
        </w:rPr>
        <w:t xml:space="preserve"> N </w:t>
      </w:r>
      <w:r w:rsidRPr="005E1697">
        <w:rPr>
          <w:rFonts w:ascii="GHEA Grapalat" w:hAnsi="GHEA Grapalat" w:cs="Sylfaen"/>
          <w:sz w:val="24"/>
          <w:szCs w:val="24"/>
          <w:lang w:val="hy-AM" w:eastAsia="fr-FR"/>
        </w:rPr>
        <w:t>143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-Ն </w:t>
      </w:r>
      <w:r>
        <w:rPr>
          <w:rFonts w:ascii="GHEA Grapalat" w:hAnsi="GHEA Grapalat" w:cs="Sylfaen"/>
          <w:sz w:val="24"/>
          <w:szCs w:val="24"/>
          <w:lang w:val="hy-AM" w:eastAsia="fr-FR"/>
        </w:rPr>
        <w:t>որոշում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>ն ուժը կորցրած ճանաչելու մասին</w:t>
      </w:r>
      <w:r>
        <w:rPr>
          <w:rFonts w:ascii="GHEA Grapalat" w:hAnsi="GHEA Grapalat" w:cs="Sylfaen"/>
          <w:sz w:val="24"/>
          <w:szCs w:val="24"/>
          <w:lang w:val="hy-AM" w:eastAsia="fr-FR"/>
        </w:rPr>
        <w:t>»</w:t>
      </w:r>
      <w:r w:rsidRPr="009D0100">
        <w:rPr>
          <w:rFonts w:ascii="GHEA Grapalat" w:hAnsi="GHEA Grapalat" w:cs="Sylfaen"/>
          <w:sz w:val="24"/>
          <w:szCs w:val="24"/>
          <w:lang w:val="hy-AM" w:eastAsia="fr-FR"/>
        </w:rPr>
        <w:t xml:space="preserve"> և «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Հայաստանի Հանրապետության քննչական կոմիտեի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դեպարտամենտի պետական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ծառայողի պաշտոնում նշանակմանը խոչընդոտող հիվանդությունների ցանկը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և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Հայաստանի Հանրապետության քննչական կոմիտեի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դեպարտամենտի պետական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ծառայողի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պաշտոնում նշանակմանը խոչընդոտող հիվանդությունների</w:t>
      </w:r>
      <w:r w:rsidR="00E75390" w:rsidRPr="00E7539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առկայության կամ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բացակայության վերաբերյալ տեղեկանքի </w:t>
      </w:r>
      <w:r w:rsidR="006C5EBD" w:rsidRPr="006C5EBD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Pr="009D0100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ձևը հաստատելու մասին» </w:t>
      </w:r>
      <w:r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Հայաստանի Հանրապետության </w:t>
      </w:r>
      <w:r w:rsidRPr="00F84AFE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կառավարության որոշումների</w:t>
      </w:r>
      <w:r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 նախագծե</w:t>
      </w:r>
      <w:r w:rsidRPr="00EC450F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>ր</w:t>
      </w:r>
      <w:r w:rsidRPr="008B1523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t xml:space="preserve">ն </w:t>
      </w:r>
      <w:r w:rsidR="00EC450F" w:rsidRPr="00D81702">
        <w:rPr>
          <w:rFonts w:ascii="GHEA Grapalat" w:hAnsi="GHEA Grapalat"/>
          <w:sz w:val="24"/>
          <w:szCs w:val="24"/>
          <w:lang w:val="hy-AM"/>
        </w:rPr>
        <w:t>ըն</w:t>
      </w:r>
      <w:r w:rsidR="00EC450F" w:rsidRPr="00D81702">
        <w:rPr>
          <w:rFonts w:ascii="GHEA Grapalat" w:hAnsi="GHEA Grapalat" w:cs="Sylfaen"/>
          <w:sz w:val="24"/>
          <w:szCs w:val="24"/>
          <w:lang w:val="hy-AM"/>
        </w:rPr>
        <w:t>դունելու դեպքում պետական կամ տեղական ինքնակառավարման մարմինների բյուջեներում ծախսերի և եկամուտների էական ավելացումներ կամ նվազեցումներ չեն նախատեսվում</w:t>
      </w:r>
      <w:r w:rsidR="00EC450F" w:rsidRPr="00D81702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EC450F" w:rsidRDefault="00EC450F" w:rsidP="00EC450F">
      <w:pPr>
        <w:spacing w:after="0" w:line="360" w:lineRule="auto"/>
        <w:ind w:firstLine="708"/>
        <w:jc w:val="both"/>
        <w:rPr>
          <w:rFonts w:ascii="GHEA Grapalat" w:eastAsiaTheme="minorHAnsi" w:hAnsi="GHEA Grapalat" w:cs="Sylfaen"/>
          <w:color w:val="222222"/>
          <w:sz w:val="24"/>
          <w:szCs w:val="24"/>
          <w:shd w:val="clear" w:color="auto" w:fill="FFFFFF"/>
          <w:lang w:val="hy-AM"/>
        </w:rPr>
      </w:pPr>
    </w:p>
    <w:p w:rsidR="00EC450F" w:rsidRDefault="00EC450F" w:rsidP="00EC450F">
      <w:pPr>
        <w:rPr>
          <w:rFonts w:asciiTheme="minorHAnsi" w:hAnsiTheme="minorHAnsi" w:cstheme="minorBidi"/>
          <w:lang w:val="hy-AM"/>
        </w:rPr>
      </w:pPr>
    </w:p>
    <w:p w:rsidR="00AF13EF" w:rsidRPr="00EC450F" w:rsidRDefault="00AF13EF" w:rsidP="00AF13EF">
      <w:pPr>
        <w:spacing w:line="360" w:lineRule="auto"/>
        <w:rPr>
          <w:lang w:val="hy-AM"/>
        </w:rPr>
      </w:pPr>
    </w:p>
    <w:p w:rsidR="00AF13EF" w:rsidRPr="00EC450F" w:rsidRDefault="00AF13EF" w:rsidP="00AF13E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</w:pPr>
    </w:p>
    <w:p w:rsidR="000C3AE6" w:rsidRPr="00E75390" w:rsidRDefault="00AF13EF" w:rsidP="00E75390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eastAsia="fr-FR"/>
        </w:rPr>
      </w:pPr>
      <w:r w:rsidRPr="00EC450F">
        <w:rPr>
          <w:rFonts w:ascii="GHEA Grapalat" w:eastAsiaTheme="minorHAnsi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</w:p>
    <w:sectPr w:rsidR="000C3AE6" w:rsidRPr="00E75390" w:rsidSect="009A1E4B">
      <w:headerReference w:type="default" r:id="rId7"/>
      <w:footerReference w:type="default" r:id="rId8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E3" w:rsidRDefault="00E45DE3" w:rsidP="003E4E79">
      <w:pPr>
        <w:spacing w:after="0" w:line="240" w:lineRule="auto"/>
      </w:pPr>
      <w:r>
        <w:separator/>
      </w:r>
    </w:p>
  </w:endnote>
  <w:endnote w:type="continuationSeparator" w:id="0">
    <w:p w:rsidR="00E45DE3" w:rsidRDefault="00E45DE3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A57B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75390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E3" w:rsidRDefault="00E45DE3" w:rsidP="003E4E79">
      <w:pPr>
        <w:spacing w:after="0" w:line="240" w:lineRule="auto"/>
      </w:pPr>
      <w:r>
        <w:separator/>
      </w:r>
    </w:p>
  </w:footnote>
  <w:footnote w:type="continuationSeparator" w:id="0">
    <w:p w:rsidR="00E45DE3" w:rsidRDefault="00E45DE3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D70"/>
    <w:multiLevelType w:val="hybridMultilevel"/>
    <w:tmpl w:val="3B0ED6F8"/>
    <w:lvl w:ilvl="0" w:tplc="BC8A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65A7"/>
    <w:multiLevelType w:val="hybridMultilevel"/>
    <w:tmpl w:val="496AE87E"/>
    <w:lvl w:ilvl="0" w:tplc="BE24FF64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66388C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93F8D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840C6F"/>
    <w:multiLevelType w:val="hybridMultilevel"/>
    <w:tmpl w:val="C0D8C630"/>
    <w:lvl w:ilvl="0" w:tplc="07F6CF7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602A2"/>
    <w:multiLevelType w:val="hybridMultilevel"/>
    <w:tmpl w:val="BFD86A1E"/>
    <w:lvl w:ilvl="0" w:tplc="58947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C4C8F"/>
    <w:multiLevelType w:val="hybridMultilevel"/>
    <w:tmpl w:val="3B0ED6F8"/>
    <w:lvl w:ilvl="0" w:tplc="BC8A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8311E"/>
    <w:multiLevelType w:val="hybridMultilevel"/>
    <w:tmpl w:val="C1EC1278"/>
    <w:lvl w:ilvl="0" w:tplc="C5140A82">
      <w:start w:val="1"/>
      <w:numFmt w:val="decimal"/>
      <w:lvlText w:val="%1."/>
      <w:lvlJc w:val="left"/>
      <w:pPr>
        <w:ind w:left="1095" w:hanging="720"/>
      </w:pPr>
      <w:rPr>
        <w:rFonts w:hint="default"/>
        <w:b w:val="0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18D258F"/>
    <w:multiLevelType w:val="hybridMultilevel"/>
    <w:tmpl w:val="9AFC2A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C517C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03DC5"/>
    <w:multiLevelType w:val="hybridMultilevel"/>
    <w:tmpl w:val="F704F944"/>
    <w:lvl w:ilvl="0" w:tplc="5900AED0">
      <w:start w:val="1"/>
      <w:numFmt w:val="decimal"/>
      <w:lvlText w:val="%1."/>
      <w:lvlJc w:val="left"/>
      <w:pPr>
        <w:ind w:left="1068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67026"/>
    <w:multiLevelType w:val="hybridMultilevel"/>
    <w:tmpl w:val="BFD86A1E"/>
    <w:lvl w:ilvl="0" w:tplc="58947D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E9A60FB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C46A16"/>
    <w:multiLevelType w:val="hybridMultilevel"/>
    <w:tmpl w:val="B7FA7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1050F"/>
    <w:multiLevelType w:val="hybridMultilevel"/>
    <w:tmpl w:val="6C9AC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4"/>
  </w:num>
  <w:num w:numId="5">
    <w:abstractNumId w:val="15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FE2"/>
    <w:rsid w:val="0003067F"/>
    <w:rsid w:val="00041B6A"/>
    <w:rsid w:val="00047564"/>
    <w:rsid w:val="000529C8"/>
    <w:rsid w:val="000C118A"/>
    <w:rsid w:val="000C3AE6"/>
    <w:rsid w:val="00124A10"/>
    <w:rsid w:val="00144635"/>
    <w:rsid w:val="001532B9"/>
    <w:rsid w:val="001764F8"/>
    <w:rsid w:val="001C5143"/>
    <w:rsid w:val="002009ED"/>
    <w:rsid w:val="0026773A"/>
    <w:rsid w:val="00294D2E"/>
    <w:rsid w:val="002970A4"/>
    <w:rsid w:val="002D6780"/>
    <w:rsid w:val="002D727F"/>
    <w:rsid w:val="002F0265"/>
    <w:rsid w:val="002F5E9C"/>
    <w:rsid w:val="0030165A"/>
    <w:rsid w:val="00302D39"/>
    <w:rsid w:val="00305566"/>
    <w:rsid w:val="003913E1"/>
    <w:rsid w:val="003E234C"/>
    <w:rsid w:val="003E4E79"/>
    <w:rsid w:val="00426475"/>
    <w:rsid w:val="004378AC"/>
    <w:rsid w:val="004403A5"/>
    <w:rsid w:val="00462399"/>
    <w:rsid w:val="00471AFA"/>
    <w:rsid w:val="00476B89"/>
    <w:rsid w:val="004A4E51"/>
    <w:rsid w:val="004C74C8"/>
    <w:rsid w:val="004C7A9D"/>
    <w:rsid w:val="004D5280"/>
    <w:rsid w:val="004E0F56"/>
    <w:rsid w:val="0051578F"/>
    <w:rsid w:val="00560DD5"/>
    <w:rsid w:val="005A0167"/>
    <w:rsid w:val="005A6727"/>
    <w:rsid w:val="005D128C"/>
    <w:rsid w:val="005E1697"/>
    <w:rsid w:val="00621333"/>
    <w:rsid w:val="00627192"/>
    <w:rsid w:val="0066023A"/>
    <w:rsid w:val="0067177F"/>
    <w:rsid w:val="006A57B6"/>
    <w:rsid w:val="006C5EBD"/>
    <w:rsid w:val="00785233"/>
    <w:rsid w:val="007A644A"/>
    <w:rsid w:val="007B72A4"/>
    <w:rsid w:val="007C3B9B"/>
    <w:rsid w:val="007D5DB3"/>
    <w:rsid w:val="00832F1B"/>
    <w:rsid w:val="00837054"/>
    <w:rsid w:val="00853D22"/>
    <w:rsid w:val="00867686"/>
    <w:rsid w:val="0088090F"/>
    <w:rsid w:val="008A2E90"/>
    <w:rsid w:val="008A4886"/>
    <w:rsid w:val="008B1523"/>
    <w:rsid w:val="008E24A8"/>
    <w:rsid w:val="00933A4C"/>
    <w:rsid w:val="00941D74"/>
    <w:rsid w:val="00982753"/>
    <w:rsid w:val="00986E5C"/>
    <w:rsid w:val="009A1E4B"/>
    <w:rsid w:val="009B7491"/>
    <w:rsid w:val="009F0B91"/>
    <w:rsid w:val="009F2FD9"/>
    <w:rsid w:val="00A361D6"/>
    <w:rsid w:val="00A60BAF"/>
    <w:rsid w:val="00A7478A"/>
    <w:rsid w:val="00AA386D"/>
    <w:rsid w:val="00AA6182"/>
    <w:rsid w:val="00AB1757"/>
    <w:rsid w:val="00AE18BE"/>
    <w:rsid w:val="00AF13EF"/>
    <w:rsid w:val="00B14B50"/>
    <w:rsid w:val="00B25D14"/>
    <w:rsid w:val="00B305FC"/>
    <w:rsid w:val="00B50D3E"/>
    <w:rsid w:val="00B60034"/>
    <w:rsid w:val="00BC63BF"/>
    <w:rsid w:val="00C21776"/>
    <w:rsid w:val="00C374A7"/>
    <w:rsid w:val="00C464FD"/>
    <w:rsid w:val="00C61580"/>
    <w:rsid w:val="00C64ADC"/>
    <w:rsid w:val="00C66514"/>
    <w:rsid w:val="00CA7289"/>
    <w:rsid w:val="00CB1558"/>
    <w:rsid w:val="00CB2D1A"/>
    <w:rsid w:val="00CE51CF"/>
    <w:rsid w:val="00D067F0"/>
    <w:rsid w:val="00D20FC5"/>
    <w:rsid w:val="00D22B1E"/>
    <w:rsid w:val="00D230D0"/>
    <w:rsid w:val="00D3406B"/>
    <w:rsid w:val="00D668F9"/>
    <w:rsid w:val="00D81702"/>
    <w:rsid w:val="00DA65D2"/>
    <w:rsid w:val="00DF1ECB"/>
    <w:rsid w:val="00E124C5"/>
    <w:rsid w:val="00E1369D"/>
    <w:rsid w:val="00E45DE3"/>
    <w:rsid w:val="00E56E9E"/>
    <w:rsid w:val="00E56ED0"/>
    <w:rsid w:val="00E75390"/>
    <w:rsid w:val="00EC450F"/>
    <w:rsid w:val="00EC6F2E"/>
    <w:rsid w:val="00EF4CE6"/>
    <w:rsid w:val="00F1543D"/>
    <w:rsid w:val="00F318AA"/>
    <w:rsid w:val="00F411CB"/>
    <w:rsid w:val="00FB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D2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 </cp:lastModifiedBy>
  <cp:revision>71</cp:revision>
  <cp:lastPrinted>2015-02-02T06:07:00Z</cp:lastPrinted>
  <dcterms:created xsi:type="dcterms:W3CDTF">2015-01-12T06:00:00Z</dcterms:created>
  <dcterms:modified xsi:type="dcterms:W3CDTF">2015-02-25T08:51:00Z</dcterms:modified>
</cp:coreProperties>
</file>