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F5" w:rsidRDefault="005A09F5" w:rsidP="005A09F5">
      <w:pPr>
        <w:jc w:val="center"/>
        <w:rPr>
          <w:rFonts w:ascii="GHEA Grapalat" w:hAnsi="GHEA Grapalat"/>
          <w:b/>
          <w:lang w:val="fr-FR"/>
        </w:rPr>
      </w:pPr>
      <w:r>
        <w:rPr>
          <w:rFonts w:ascii="GHEA Grapalat" w:hAnsi="GHEA Grapalat"/>
          <w:b/>
          <w:lang w:val="fr-FR"/>
        </w:rPr>
        <w:t>Ա Մ Փ Ո Փ Տ Ե Ղ Ե Կ Ա Ն Ք</w:t>
      </w:r>
    </w:p>
    <w:p w:rsidR="005A09F5" w:rsidRDefault="005A09F5" w:rsidP="005A09F5">
      <w:pPr>
        <w:jc w:val="center"/>
        <w:rPr>
          <w:rFonts w:ascii="GHEA Grapalat" w:hAnsi="GHEA Grapalat"/>
          <w:b/>
          <w:lang w:val="fr-FR"/>
        </w:rPr>
      </w:pPr>
    </w:p>
    <w:p w:rsidR="005A09F5" w:rsidRPr="00113448" w:rsidRDefault="00B716A1" w:rsidP="005A09F5">
      <w:pPr>
        <w:ind w:firstLine="288"/>
        <w:jc w:val="center"/>
        <w:rPr>
          <w:rStyle w:val="Strong"/>
          <w:rFonts w:cs="Sylfaen"/>
          <w:lang w:val="fr-FR"/>
        </w:rPr>
      </w:pPr>
      <w:r>
        <w:rPr>
          <w:rFonts w:ascii="GHEA Grapalat" w:hAnsi="GHEA Grapalat" w:cs="Arial"/>
          <w:b/>
          <w:bCs/>
          <w:lang w:val="hy-AM"/>
        </w:rPr>
        <w:t>&lt;&lt;</w:t>
      </w:r>
      <w:r>
        <w:rPr>
          <w:rFonts w:ascii="GHEA Grapalat" w:hAnsi="GHEA Grapalat" w:cs="Arial"/>
          <w:b/>
          <w:bCs/>
          <w:lang w:val="hy-AM"/>
        </w:rPr>
        <w:t>ԱՋԱԿՈՂՄՅԱՆ ՂԵԿԱՅԻՆ ՏԵՂԱԲԱՇԽՄԱՄԲ ՏՐԱՆՍՊՈՐՏԱՅԻՆ ՄԻՋՈՑՆԵՐԻ ՆԵՐՄՈՒԾՈՒՄՆ ԱՐԳԵԼԵԼՈՒ ՄԱՍԻՆ» ՀԱՅԱՍՏԱՆԻ ՀԱՆՐԱՊԵՏՈՒԹՅԱՆ ՕՐԵՆՔՈՒՄ ԼՐԱՑՈՒՄ ԿԱՏԱՐԵԼՈՒ</w:t>
      </w:r>
      <w:r>
        <w:rPr>
          <w:rFonts w:ascii="GHEA Grapalat" w:hAnsi="GHEA Grapalat" w:cs="Arial"/>
          <w:b/>
          <w:bCs/>
          <w:lang w:val="en-US"/>
        </w:rPr>
        <w:t xml:space="preserve"> ՄԱՍԻՆ&gt;&gt; ՀՀ ՕՐԵՆՔԻ </w:t>
      </w:r>
      <w:r w:rsidR="005A09F5">
        <w:rPr>
          <w:rFonts w:ascii="GHEA Grapalat" w:hAnsi="GHEA Grapalat" w:cs="Sylfaen"/>
          <w:b/>
          <w:lang w:val="fr-FR"/>
        </w:rPr>
        <w:t>ՆԱԽԱԳԾԻ ԿԱՊԱԿՑՈՒԹՅԱՄԲ ՇԱՀԱԳՐԳԻՌ ԳԵՐԱՏԵՍՉՈՒԹՅՈՒՆՆԵՐԻՑ ՍՏԱՑՎԱԾ ԱՌԱՐԿՈՒԹՅՈՒՆՆԵՐԻ ԵՎ ԱՌԱՋԱՐԿՈՒԹՅՈՒՆՆԵՐԻ ՎԵՐԱԲԵՐՅԱԼ</w:t>
      </w:r>
    </w:p>
    <w:p w:rsidR="005A09F5" w:rsidRDefault="005A09F5" w:rsidP="005A09F5">
      <w:pPr>
        <w:pStyle w:val="mechtex"/>
        <w:spacing w:line="276" w:lineRule="auto"/>
        <w:jc w:val="left"/>
        <w:rPr>
          <w:rFonts w:ascii="GHEA Grapalat" w:hAnsi="GHEA Grapalat" w:cs="Tahoma"/>
          <w:b/>
          <w:sz w:val="24"/>
        </w:rPr>
      </w:pPr>
    </w:p>
    <w:tbl>
      <w:tblPr>
        <w:tblW w:w="1080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5400"/>
        <w:gridCol w:w="2610"/>
      </w:tblGrid>
      <w:tr w:rsidR="005A09F5" w:rsidTr="00FB32C4"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համարը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>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fr-FR"/>
              </w:rPr>
              <w:t>բովանդակությունը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lang w:val="fr-FR"/>
              </w:rPr>
              <w:t>Եզրակացություն</w:t>
            </w:r>
            <w:proofErr w:type="spellEnd"/>
          </w:p>
        </w:tc>
      </w:tr>
      <w:tr w:rsidR="005A09F5" w:rsidTr="00FB3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FB32C4">
            <w:pPr>
              <w:spacing w:after="200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E140C3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lang w:val="fr-FR"/>
              </w:rPr>
            </w:pPr>
            <w:r>
              <w:rPr>
                <w:rFonts w:ascii="GHEA Grapalat" w:hAnsi="GHEA Grapalat" w:cs="Sylfaen"/>
                <w:b/>
                <w:lang w:val="fr-FR"/>
              </w:rPr>
              <w:t>3</w:t>
            </w:r>
          </w:p>
        </w:tc>
      </w:tr>
      <w:tr w:rsidR="005A09F5" w:rsidRPr="00113448" w:rsidTr="00FB3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18"/>
              <w:gridCol w:w="2199"/>
            </w:tblGrid>
            <w:tr w:rsidR="005A09F5" w:rsidTr="00E140C3">
              <w:trPr>
                <w:trHeight w:val="883"/>
                <w:tblCellSpacing w:w="7" w:type="dxa"/>
              </w:trPr>
              <w:tc>
                <w:tcPr>
                  <w:tcW w:w="147" w:type="dxa"/>
                  <w:vAlign w:val="center"/>
                  <w:hideMark/>
                </w:tcPr>
                <w:p w:rsidR="005A09F5" w:rsidRDefault="005A09F5" w:rsidP="00E140C3"/>
              </w:tc>
              <w:tc>
                <w:tcPr>
                  <w:tcW w:w="8314" w:type="dxa"/>
                  <w:vAlign w:val="center"/>
                  <w:hideMark/>
                </w:tcPr>
                <w:p w:rsidR="005A09F5" w:rsidRDefault="005A09F5" w:rsidP="00E140C3">
                  <w:pPr>
                    <w:jc w:val="center"/>
                    <w:rPr>
                      <w:rFonts w:ascii="GHEA Grapalat" w:hAnsi="GHEA Grapalat"/>
                      <w:b/>
                    </w:rPr>
                  </w:pPr>
                  <w:r>
                    <w:rPr>
                      <w:rFonts w:ascii="GHEA Grapalat" w:hAnsi="GHEA Grapalat"/>
                      <w:b/>
                    </w:rPr>
                    <w:t>ՀՀ ֆինանսների նախարարություն</w:t>
                  </w:r>
                </w:p>
              </w:tc>
            </w:tr>
          </w:tbl>
          <w:p w:rsidR="005A09F5" w:rsidRDefault="005A09F5" w:rsidP="00E140C3"/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C4" w:rsidRDefault="00B716A1" w:rsidP="00B716A1">
            <w:pPr>
              <w:contextualSpacing/>
              <w:jc w:val="both"/>
              <w:rPr>
                <w:rFonts w:ascii="GHEA Grapalat" w:hAnsi="GHEA Grapalat" w:cs="Sylfaen"/>
                <w:spacing w:val="-6"/>
                <w:lang w:val="pt-BR"/>
              </w:rPr>
            </w:pPr>
            <w:r>
              <w:rPr>
                <w:rFonts w:ascii="GHEA Grapalat" w:hAnsi="GHEA Grapalat" w:cs="Sylfaen"/>
                <w:lang w:val="hy-AM"/>
              </w:rPr>
              <w:t>Դ</w:t>
            </w:r>
            <w:r>
              <w:rPr>
                <w:rFonts w:ascii="GHEA Grapalat" w:hAnsi="GHEA Grapalat" w:cs="Sylfaen"/>
                <w:lang w:val="hy-AM"/>
              </w:rPr>
              <w:t>իտողություններ և առաջարկություններ չկան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2C4" w:rsidRDefault="00FB32C4" w:rsidP="00E140C3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FB32C4" w:rsidRDefault="00FB32C4" w:rsidP="00E140C3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5A09F5" w:rsidRPr="00FB32C4" w:rsidRDefault="005A09F5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5A09F5" w:rsidRPr="00113448" w:rsidTr="00FB3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Pr="00113448" w:rsidRDefault="005A09F5" w:rsidP="00B716A1">
            <w:pPr>
              <w:jc w:val="center"/>
              <w:rPr>
                <w:lang w:val="pt-BR"/>
              </w:rPr>
            </w:pPr>
            <w:r>
              <w:rPr>
                <w:rFonts w:ascii="GHEA Grapalat" w:hAnsi="GHEA Grapalat"/>
                <w:b/>
              </w:rPr>
              <w:t>ՀՀ</w:t>
            </w:r>
            <w:r w:rsidRPr="00113448">
              <w:rPr>
                <w:rFonts w:ascii="GHEA Grapalat" w:hAnsi="GHEA Grapalat"/>
                <w:b/>
                <w:lang w:val="pt-BR"/>
              </w:rPr>
              <w:t xml:space="preserve"> </w:t>
            </w:r>
            <w:proofErr w:type="spellStart"/>
            <w:r w:rsidR="00B716A1">
              <w:rPr>
                <w:rFonts w:ascii="GHEA Grapalat" w:hAnsi="GHEA Grapalat"/>
                <w:b/>
                <w:lang w:val="en-US"/>
              </w:rPr>
              <w:t>ոստիկանություն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B716A1" w:rsidP="00B716A1">
            <w:pPr>
              <w:tabs>
                <w:tab w:val="left" w:pos="90"/>
              </w:tabs>
              <w:jc w:val="both"/>
              <w:rPr>
                <w:rFonts w:ascii="GHEA Grapalat" w:hAnsi="GHEA Grapalat" w:cs="Sylfaen"/>
                <w:spacing w:val="-6"/>
                <w:lang w:val="pt-BR"/>
              </w:rPr>
            </w:pPr>
            <w:r>
              <w:rPr>
                <w:rFonts w:ascii="GHEA Grapalat" w:hAnsi="GHEA Grapalat" w:cs="Sylfaen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9F5" w:rsidRDefault="005A09F5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5A09F5" w:rsidRPr="00113448" w:rsidRDefault="005A09F5" w:rsidP="00B716A1">
            <w:pPr>
              <w:spacing w:line="276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B716A1" w:rsidRPr="00113448" w:rsidTr="00FB3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A1" w:rsidRPr="00B716A1" w:rsidRDefault="00B716A1" w:rsidP="00B716A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պետական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եկամուտների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կոմիտե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A1" w:rsidRDefault="00B716A1" w:rsidP="00B716A1">
            <w:pPr>
              <w:ind w:firstLine="540"/>
              <w:jc w:val="both"/>
              <w:rPr>
                <w:rFonts w:ascii="GHEA Grapalat" w:hAnsi="GHEA Grapalat" w:cs="Arial"/>
              </w:rPr>
            </w:pPr>
            <w:proofErr w:type="spellStart"/>
            <w:r>
              <w:rPr>
                <w:rFonts w:ascii="GHEA Grapalat" w:hAnsi="GHEA Grapalat" w:cs="Arial"/>
                <w:bCs/>
                <w:color w:val="000000"/>
                <w:lang w:val="en-GB"/>
              </w:rPr>
              <w:t>Նախագծով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bCs/>
                <w:color w:val="000000"/>
                <w:lang w:val="en-GB"/>
              </w:rPr>
              <w:t>առաջարկվում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lang w:val="en-GB"/>
              </w:rPr>
              <w:t xml:space="preserve"> է </w:t>
            </w:r>
            <w:r>
              <w:rPr>
                <w:rFonts w:ascii="GHEA Grapalat" w:hAnsi="GHEA Grapalat" w:cs="Arial"/>
                <w:lang w:val="hy-AM"/>
              </w:rPr>
              <w:t xml:space="preserve">Հայաստանի Հանրապետության </w:t>
            </w:r>
            <w:r>
              <w:rPr>
                <w:rFonts w:ascii="GHEA Grapalat" w:hAnsi="GHEA Grapalat" w:cs="Arial"/>
              </w:rPr>
              <w:t>01.03.</w:t>
            </w:r>
            <w:r>
              <w:rPr>
                <w:rFonts w:ascii="GHEA Grapalat" w:hAnsi="GHEA Grapalat" w:cs="Arial"/>
                <w:lang w:val="hy-AM"/>
              </w:rPr>
              <w:t>2018թ</w:t>
            </w:r>
            <w:r>
              <w:rPr>
                <w:rFonts w:ascii="GHEA Grapalat" w:hAnsi="GHEA Grapalat" w:cs="Arial"/>
              </w:rPr>
              <w:t xml:space="preserve">. </w:t>
            </w:r>
            <w:r>
              <w:rPr>
                <w:rFonts w:ascii="GHEA Grapalat" w:hAnsi="GHEA Grapalat" w:cs="Arial"/>
                <w:lang w:val="hy-AM"/>
              </w:rPr>
              <w:t>ՀՕ-125-Ն օրենք</w:t>
            </w:r>
            <w:r>
              <w:rPr>
                <w:rFonts w:ascii="GHEA Grapalat" w:hAnsi="GHEA Grapalat" w:cs="Arial"/>
                <w:lang w:val="en-GB"/>
              </w:rPr>
              <w:t xml:space="preserve">ի 2-րդ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հոդվածով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սահմանված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՝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աջակողմյան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ղեկային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տեղաբաշխմամբ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տրանսպորտայի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միջոցների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ներմուծման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արգելքից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բացառության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ժամկետային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սահմանափակումը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փոփոխել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այսինքն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ներմուծման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արգելքը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չտարածել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այն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տրանսպորտային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միջոցների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GB"/>
              </w:rPr>
              <w:t>վրա</w:t>
            </w:r>
            <w:proofErr w:type="spellEnd"/>
            <w:r>
              <w:rPr>
                <w:rFonts w:ascii="GHEA Grapalat" w:hAnsi="GHEA Grapalat" w:cs="Arial"/>
                <w:lang w:val="en-GB"/>
              </w:rPr>
              <w:t xml:space="preserve">, </w:t>
            </w:r>
            <w:r>
              <w:rPr>
                <w:rFonts w:ascii="GHEA Grapalat" w:hAnsi="GHEA Grapalat" w:cs="Arial"/>
                <w:lang w:val="hy-AM"/>
              </w:rPr>
              <w:t>որոնք ՀՀ տարածք ներմուծողների կողմից ձեռք են բերվել մինչև 2018 թվականի դեկտեմբերի 30-ը և ՀՀ տարածք են ներմուծվելու մինչև 2019 թվականի ապրիլի 1-ը:</w:t>
            </w:r>
            <w:r>
              <w:rPr>
                <w:rFonts w:ascii="GHEA Grapalat" w:hAnsi="GHEA Grapalat" w:cs="Arial"/>
              </w:rPr>
              <w:t xml:space="preserve"> Այսպիսով, Նախագծով նախատեսվում է գործող օրենքում կատարել ժամկետների փոփոխություն, հետևաբար, Նախագծի վերնագրում  </w:t>
            </w:r>
            <w:r>
              <w:rPr>
                <w:rFonts w:ascii="GHEA Grapalat" w:hAnsi="GHEA Grapalat" w:cs="Arial"/>
                <w:lang w:val="hy-AM"/>
              </w:rPr>
              <w:t>«</w:t>
            </w:r>
            <w:r>
              <w:rPr>
                <w:rFonts w:ascii="GHEA Grapalat" w:hAnsi="GHEA Grapalat" w:cs="Arial"/>
              </w:rPr>
              <w:t>լրացում</w:t>
            </w:r>
            <w:r>
              <w:rPr>
                <w:rFonts w:ascii="GHEA Grapalat" w:hAnsi="GHEA Grapalat" w:cs="Arial"/>
                <w:lang w:val="hy-AM"/>
              </w:rPr>
              <w:t>»</w:t>
            </w:r>
            <w:r>
              <w:rPr>
                <w:rFonts w:ascii="GHEA Grapalat" w:hAnsi="GHEA Grapalat" w:cs="Arial"/>
              </w:rPr>
              <w:t xml:space="preserve"> բառը անհրաժեշտ է փոխարինել </w:t>
            </w:r>
            <w:r>
              <w:rPr>
                <w:rFonts w:ascii="GHEA Grapalat" w:hAnsi="GHEA Grapalat" w:cs="Arial"/>
                <w:lang w:val="hy-AM"/>
              </w:rPr>
              <w:t>«</w:t>
            </w:r>
            <w:r>
              <w:rPr>
                <w:rFonts w:ascii="GHEA Grapalat" w:hAnsi="GHEA Grapalat" w:cs="Arial"/>
              </w:rPr>
              <w:t>փոփոխություն</w:t>
            </w:r>
            <w:r>
              <w:rPr>
                <w:rFonts w:ascii="GHEA Grapalat" w:hAnsi="GHEA Grapalat" w:cs="Arial"/>
                <w:lang w:val="hy-AM"/>
              </w:rPr>
              <w:t>»</w:t>
            </w:r>
            <w:r>
              <w:rPr>
                <w:rFonts w:ascii="GHEA Grapalat" w:hAnsi="GHEA Grapalat" w:cs="Arial"/>
              </w:rPr>
              <w:t xml:space="preserve"> բառով:</w:t>
            </w:r>
          </w:p>
          <w:p w:rsidR="00B716A1" w:rsidRDefault="00B716A1" w:rsidP="00B716A1">
            <w:pPr>
              <w:ind w:firstLine="540"/>
              <w:jc w:val="both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</w:rPr>
              <w:t xml:space="preserve">Միաժամանակ, Նախագծից պարզ չէ, թե ինչպես է հիմնավորվելու խնդրո առարկա տրոնսպորտային միջոցների՝ </w:t>
            </w:r>
            <w:r>
              <w:rPr>
                <w:rFonts w:ascii="GHEA Grapalat" w:hAnsi="GHEA Grapalat" w:cs="Arial"/>
                <w:lang w:val="hy-AM"/>
              </w:rPr>
              <w:t>ՀՀ տարածք ներմուծողների կողմից մինչև 2018 թվականի դեկտեմբերի 30-ը</w:t>
            </w:r>
            <w:r>
              <w:rPr>
                <w:rFonts w:ascii="GHEA Grapalat" w:hAnsi="GHEA Grapalat" w:cs="Arial"/>
              </w:rPr>
              <w:t xml:space="preserve"> ձեռք բերված լինելու </w:t>
            </w:r>
            <w:r>
              <w:rPr>
                <w:rFonts w:ascii="GHEA Grapalat" w:hAnsi="GHEA Grapalat" w:cs="Arial"/>
              </w:rPr>
              <w:lastRenderedPageBreak/>
              <w:t xml:space="preserve">հանգամանքը, ինչը կարող է խնդիրներ առաջացնել մաքսային մարմինների կողմից մաքսային հսկողության իրականացման ժամանակ: </w:t>
            </w:r>
          </w:p>
          <w:p w:rsidR="00B716A1" w:rsidRPr="009315EF" w:rsidRDefault="00B716A1" w:rsidP="00B716A1">
            <w:pPr>
              <w:ind w:firstLine="540"/>
              <w:jc w:val="both"/>
              <w:rPr>
                <w:rFonts w:ascii="GHEA Grapalat" w:hAnsi="GHEA Grapalat" w:cs="Arial"/>
                <w:bCs/>
                <w:color w:val="000000"/>
              </w:rPr>
            </w:pPr>
            <w:r>
              <w:rPr>
                <w:rFonts w:ascii="GHEA Grapalat" w:hAnsi="GHEA Grapalat" w:cs="Arial"/>
              </w:rPr>
              <w:t>Ելնելով վերոգրյալից՝ առաջարկում ենք Նախագծի 1-ին հոդվածով նախատեսված սահմանափակումը կապել մաքսային մարմին ներկայացվող առևտ</w:t>
            </w:r>
            <w:r>
              <w:rPr>
                <w:rFonts w:ascii="GHEA Grapalat" w:hAnsi="GHEA Grapalat" w:cs="Arial"/>
                <w:lang w:val="en-GB"/>
              </w:rPr>
              <w:t>ր</w:t>
            </w:r>
            <w:r>
              <w:rPr>
                <w:rFonts w:ascii="GHEA Grapalat" w:hAnsi="GHEA Grapalat" w:cs="Arial"/>
              </w:rPr>
              <w:t>ային փաստաթղթերում նշված ժամկետի հետ:</w:t>
            </w:r>
          </w:p>
          <w:p w:rsidR="00B716A1" w:rsidRDefault="00B716A1" w:rsidP="00B716A1">
            <w:pPr>
              <w:tabs>
                <w:tab w:val="left" w:pos="9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B716A1" w:rsidRDefault="00B716A1" w:rsidP="00B716A1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  <w:tr w:rsidR="00B716A1" w:rsidRPr="00113448" w:rsidTr="00FB32C4">
        <w:trPr>
          <w:trHeight w:val="215"/>
        </w:trPr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6A1" w:rsidRPr="00B716A1" w:rsidRDefault="00B716A1" w:rsidP="00B716A1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նախարարություն</w:t>
            </w:r>
            <w:proofErr w:type="spellEnd"/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67A" w:rsidRDefault="0006767A" w:rsidP="0006767A">
            <w:pPr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>1.Նախագծի վերնագրում ,,լրացում,, բառն անհրաժեշտ է փոխարինել ,,փոփոխություն,, բառով՝ նկատի ունենալով օրենքի 1-ին հոդվածի պահանջները` համաձայն ,,Նորմատիվ իրավական ակտերի մասին,, ՀՀ օրենքի 12-րդ հոդվածի պահանջ</w:t>
            </w:r>
            <w:bookmarkStart w:id="0" w:name="_GoBack"/>
            <w:bookmarkEnd w:id="0"/>
            <w:r>
              <w:rPr>
                <w:rFonts w:ascii="GHEA Grapalat" w:hAnsi="GHEA Grapalat" w:cs="IRTEK Courier"/>
                <w:bCs/>
                <w:lang w:val="af-ZA"/>
              </w:rPr>
              <w:t>ների:</w:t>
            </w:r>
          </w:p>
          <w:p w:rsidR="0006767A" w:rsidRDefault="0006767A" w:rsidP="0006767A">
            <w:pPr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ab/>
              <w:t>2. Նախագծի 1-ին հոդվածում ,,և թվերը,, ու ,,և թվերով,, բառերն անհրաժեշտ է հանել՝ նկատի ունենալով, որ նախադասության մեջ թվերը նույնպես դիտվում են բառեր:</w:t>
            </w:r>
          </w:p>
          <w:p w:rsidR="0006767A" w:rsidRDefault="0006767A" w:rsidP="0006767A">
            <w:pPr>
              <w:jc w:val="both"/>
              <w:rPr>
                <w:rFonts w:ascii="GHEA Grapalat" w:hAnsi="GHEA Grapalat" w:cs="IRTEK Courier"/>
                <w:bCs/>
                <w:lang w:val="af-ZA"/>
              </w:rPr>
            </w:pPr>
            <w:r>
              <w:rPr>
                <w:rFonts w:ascii="GHEA Grapalat" w:hAnsi="GHEA Grapalat" w:cs="IRTEK Courier"/>
                <w:bCs/>
                <w:lang w:val="af-ZA"/>
              </w:rPr>
              <w:tab/>
              <w:t>3. Նախագծի 2-րդ հոդվածում ,,հրապարակման օրվան,, բառերը փոխարինել ,,հրապարակմանը,, բառով՝ համաձայն ,,Նորմատիվ իրավական ակտերի մասին,, ՀՀ օրենքի 23-րդ հոդվածի պահանջների:</w:t>
            </w:r>
          </w:p>
          <w:p w:rsidR="00B716A1" w:rsidRDefault="00B716A1" w:rsidP="00B716A1">
            <w:pPr>
              <w:tabs>
                <w:tab w:val="left" w:pos="9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67A" w:rsidRDefault="0006767A" w:rsidP="0006767A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  <w:p w:rsidR="00B716A1" w:rsidRDefault="00B716A1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06767A" w:rsidRDefault="0006767A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06767A" w:rsidRDefault="0006767A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06767A" w:rsidRDefault="0006767A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  <w:p w:rsidR="0006767A" w:rsidRDefault="0006767A" w:rsidP="0006767A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  <w:p w:rsidR="0006767A" w:rsidRDefault="0006767A" w:rsidP="0006767A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6767A" w:rsidRDefault="0006767A" w:rsidP="0006767A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6767A" w:rsidRDefault="0006767A" w:rsidP="0006767A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6767A" w:rsidRDefault="0006767A" w:rsidP="0006767A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է</w:t>
            </w:r>
          </w:p>
          <w:p w:rsidR="0006767A" w:rsidRDefault="0006767A" w:rsidP="0006767A">
            <w:pPr>
              <w:spacing w:line="276" w:lineRule="auto"/>
              <w:jc w:val="center"/>
              <w:rPr>
                <w:rFonts w:ascii="GHEA Grapalat" w:hAnsi="GHEA Grapalat"/>
                <w:lang w:val="en-US"/>
              </w:rPr>
            </w:pPr>
          </w:p>
          <w:p w:rsidR="0006767A" w:rsidRDefault="0006767A" w:rsidP="00B716A1">
            <w:pPr>
              <w:spacing w:line="276" w:lineRule="auto"/>
              <w:rPr>
                <w:rFonts w:ascii="GHEA Grapalat" w:hAnsi="GHEA Grapalat"/>
                <w:lang w:val="en-US"/>
              </w:rPr>
            </w:pPr>
          </w:p>
        </w:tc>
      </w:tr>
    </w:tbl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rPr>
          <w:lang w:val="hy-AM"/>
        </w:rPr>
      </w:pPr>
    </w:p>
    <w:p w:rsidR="005A09F5" w:rsidRPr="00113448" w:rsidRDefault="005A09F5" w:rsidP="005A09F5">
      <w:pPr>
        <w:ind w:firstLine="708"/>
        <w:jc w:val="both"/>
        <w:rPr>
          <w:rFonts w:ascii="GHEA Grapalat" w:hAnsi="GHEA Grapalat"/>
          <w:lang w:val="hy-AM"/>
        </w:rPr>
      </w:pPr>
    </w:p>
    <w:p w:rsidR="003C7579" w:rsidRDefault="003C7579"/>
    <w:sectPr w:rsidR="003C7579" w:rsidSect="000B5E33">
      <w:footerReference w:type="even" r:id="rId7"/>
      <w:footerReference w:type="default" r:id="rId8"/>
      <w:pgSz w:w="11906" w:h="16838"/>
      <w:pgMar w:top="540" w:right="850" w:bottom="270" w:left="15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4FB" w:rsidRDefault="006364FB">
      <w:r>
        <w:separator/>
      </w:r>
    </w:p>
  </w:endnote>
  <w:endnote w:type="continuationSeparator" w:id="0">
    <w:p w:rsidR="006364FB" w:rsidRDefault="006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8BD" w:rsidRDefault="006364FB" w:rsidP="00467F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BD" w:rsidRDefault="005A09F5" w:rsidP="006D32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6767A">
      <w:rPr>
        <w:rStyle w:val="PageNumber"/>
        <w:noProof/>
      </w:rPr>
      <w:t>1</w:t>
    </w:r>
    <w:r>
      <w:rPr>
        <w:rStyle w:val="PageNumber"/>
      </w:rPr>
      <w:fldChar w:fldCharType="end"/>
    </w:r>
  </w:p>
  <w:p w:rsidR="003218BD" w:rsidRDefault="006364FB" w:rsidP="00467F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4FB" w:rsidRDefault="006364FB">
      <w:r>
        <w:separator/>
      </w:r>
    </w:p>
  </w:footnote>
  <w:footnote w:type="continuationSeparator" w:id="0">
    <w:p w:rsidR="006364FB" w:rsidRDefault="0063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73720"/>
    <w:multiLevelType w:val="hybridMultilevel"/>
    <w:tmpl w:val="5F3E4C58"/>
    <w:lvl w:ilvl="0" w:tplc="26C00AEE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51"/>
    <w:rsid w:val="0006767A"/>
    <w:rsid w:val="002A2813"/>
    <w:rsid w:val="003C7579"/>
    <w:rsid w:val="00404D07"/>
    <w:rsid w:val="0053589D"/>
    <w:rsid w:val="00543D51"/>
    <w:rsid w:val="005A09F5"/>
    <w:rsid w:val="006364FB"/>
    <w:rsid w:val="007D6C61"/>
    <w:rsid w:val="008A6293"/>
    <w:rsid w:val="00B716A1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C5A9B-7976-44DF-8C57-1A9686DDC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9F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A09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A09F5"/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A09F5"/>
  </w:style>
  <w:style w:type="character" w:styleId="Strong">
    <w:name w:val="Strong"/>
    <w:uiPriority w:val="22"/>
    <w:qFormat/>
    <w:rsid w:val="005A09F5"/>
    <w:rPr>
      <w:b/>
      <w:bCs/>
    </w:rPr>
  </w:style>
  <w:style w:type="paragraph" w:customStyle="1" w:styleId="mechtex">
    <w:name w:val="mechtex"/>
    <w:basedOn w:val="Normal"/>
    <w:link w:val="mechtexChar"/>
    <w:rsid w:val="005A09F5"/>
    <w:pPr>
      <w:jc w:val="center"/>
    </w:pPr>
    <w:rPr>
      <w:rFonts w:ascii="Arial Armenian" w:hAnsi="Arial Armenian"/>
      <w:sz w:val="22"/>
      <w:szCs w:val="20"/>
      <w:lang w:val="x-none"/>
    </w:rPr>
  </w:style>
  <w:style w:type="character" w:customStyle="1" w:styleId="mechtexChar">
    <w:name w:val="mechtex Char"/>
    <w:link w:val="mechtex"/>
    <w:rsid w:val="005A09F5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NormalWeb">
    <w:name w:val="Normal (Web)"/>
    <w:basedOn w:val="Normal"/>
    <w:uiPriority w:val="99"/>
    <w:rsid w:val="005A09F5"/>
    <w:pPr>
      <w:spacing w:before="100" w:beforeAutospacing="1" w:after="100" w:afterAutospacing="1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