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91" w:rsidRPr="007E4DEA" w:rsidRDefault="00EB5F19" w:rsidP="00966F78">
      <w:pPr>
        <w:spacing w:after="0"/>
        <w:jc w:val="center"/>
        <w:rPr>
          <w:rFonts w:ascii="GHEA Grapalat" w:hAnsi="GHEA Grapalat"/>
          <w:b/>
          <w:sz w:val="36"/>
          <w:szCs w:val="36"/>
        </w:rPr>
      </w:pP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մ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ո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փ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ա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ե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ր</w:t>
      </w:r>
      <w:r w:rsidR="007E4DEA">
        <w:rPr>
          <w:rFonts w:ascii="GHEA Grapalat" w:hAnsi="GHEA Grapalat"/>
          <w:b/>
          <w:sz w:val="36"/>
          <w:szCs w:val="36"/>
        </w:rPr>
        <w:t xml:space="preserve"> </w:t>
      </w:r>
      <w:r w:rsidRPr="007E4DEA">
        <w:rPr>
          <w:rFonts w:ascii="GHEA Grapalat" w:hAnsi="GHEA Grapalat"/>
          <w:b/>
          <w:sz w:val="36"/>
          <w:szCs w:val="36"/>
        </w:rPr>
        <w:t>թ</w:t>
      </w:r>
    </w:p>
    <w:p w:rsidR="001C0383" w:rsidRPr="008447E5" w:rsidRDefault="001C0383" w:rsidP="001C0383">
      <w:pPr>
        <w:spacing w:after="120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8447E5">
        <w:rPr>
          <w:rFonts w:ascii="GHEA Grapalat" w:hAnsi="GHEA Grapalat" w:cs="Arial Armenian"/>
          <w:b/>
          <w:sz w:val="24"/>
          <w:szCs w:val="24"/>
          <w:lang w:val="fr-FR"/>
        </w:rPr>
        <w:t>«</w:t>
      </w:r>
      <w:r w:rsidRPr="008447E5">
        <w:rPr>
          <w:rFonts w:ascii="GHEA Grapalat" w:eastAsia="Calibri" w:hAnsi="GHEA Grapalat"/>
          <w:b/>
          <w:sz w:val="24"/>
          <w:szCs w:val="24"/>
        </w:rPr>
        <w:t>Հայաստանի Հանրապետության կառավարության և Տաջիկստանի Հանրապետության կառավարության կրթության որակավորման, գիտական աստիճան</w:t>
      </w:r>
      <w:r w:rsidRPr="008447E5">
        <w:rPr>
          <w:rFonts w:ascii="GHEA Grapalat" w:eastAsia="Calibri" w:hAnsi="GHEA Grapalat"/>
          <w:b/>
          <w:sz w:val="24"/>
          <w:szCs w:val="24"/>
        </w:rPr>
        <w:softHyphen/>
        <w:t>ների և գիտական կոչումների փոխճանաչման և համարժեքության մասին</w:t>
      </w:r>
      <w:r w:rsidRPr="008447E5">
        <w:rPr>
          <w:rFonts w:ascii="GHEA Grapalat" w:hAnsi="GHEA Grapalat" w:cs="Arial Armenian"/>
          <w:b/>
          <w:sz w:val="24"/>
          <w:szCs w:val="24"/>
          <w:lang w:val="fr-FR"/>
        </w:rPr>
        <w:t>»</w:t>
      </w:r>
      <w:r w:rsidRPr="008447E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447E5">
        <w:rPr>
          <w:rFonts w:ascii="GHEA Grapalat" w:hAnsi="GHEA Grapalat"/>
          <w:b/>
          <w:sz w:val="24"/>
          <w:szCs w:val="24"/>
        </w:rPr>
        <w:t xml:space="preserve"> </w:t>
      </w:r>
      <w:r w:rsidRPr="008447E5">
        <w:rPr>
          <w:rFonts w:ascii="GHEA Grapalat" w:hAnsi="GHEA Grapalat" w:cs="Sylfaen"/>
          <w:b/>
          <w:sz w:val="24"/>
          <w:szCs w:val="24"/>
        </w:rPr>
        <w:t>համաձայնա</w:t>
      </w:r>
      <w:r w:rsidRPr="008447E5">
        <w:rPr>
          <w:rFonts w:ascii="GHEA Grapalat" w:hAnsi="GHEA Grapalat" w:cs="Sylfaen"/>
          <w:b/>
          <w:sz w:val="24"/>
          <w:szCs w:val="24"/>
        </w:rPr>
        <w:softHyphen/>
        <w:t>գրի</w:t>
      </w:r>
      <w:r w:rsidRPr="008447E5">
        <w:rPr>
          <w:rFonts w:ascii="GHEA Grapalat" w:hAnsi="GHEA Grapalat" w:cs="Sylfaen"/>
          <w:b/>
          <w:sz w:val="24"/>
          <w:szCs w:val="24"/>
          <w:lang w:val="fr-FR"/>
        </w:rPr>
        <w:t xml:space="preserve"> նախագծի վերաբերյալ ՀՀ շահագրգիռ նախարարությունների առաջարկությունները և դիտողությունները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166"/>
        <w:gridCol w:w="4392"/>
      </w:tblGrid>
      <w:tr w:rsidR="00EB5F19" w:rsidRPr="00966F78" w:rsidTr="007E4DEA">
        <w:tc>
          <w:tcPr>
            <w:tcW w:w="3618" w:type="dxa"/>
          </w:tcPr>
          <w:p w:rsidR="00EB5F19" w:rsidRPr="00966F78" w:rsidRDefault="00EB5F19" w:rsidP="007E4DEA">
            <w:pPr>
              <w:spacing w:after="120"/>
              <w:jc w:val="center"/>
              <w:rPr>
                <w:rFonts w:ascii="GHEA Grapalat" w:hAnsi="GHEA Grapalat"/>
                <w:b/>
              </w:rPr>
            </w:pPr>
            <w:r w:rsidRPr="00966F78">
              <w:rPr>
                <w:rFonts w:ascii="GHEA Grapalat" w:hAnsi="GHEA Grapalat"/>
                <w:b/>
              </w:rPr>
              <w:t>Գերատեսչություն, շահագրգիռ կազմակ.</w:t>
            </w:r>
          </w:p>
        </w:tc>
        <w:tc>
          <w:tcPr>
            <w:tcW w:w="5166" w:type="dxa"/>
          </w:tcPr>
          <w:p w:rsidR="00EB5F19" w:rsidRPr="00966F78" w:rsidRDefault="007E4DEA" w:rsidP="007E4DEA">
            <w:pPr>
              <w:spacing w:after="12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</w:t>
            </w:r>
            <w:r w:rsidR="00EB5F19" w:rsidRPr="00966F78">
              <w:rPr>
                <w:rFonts w:ascii="GHEA Grapalat" w:hAnsi="GHEA Grapalat"/>
                <w:b/>
              </w:rPr>
              <w:t>արծիք</w:t>
            </w:r>
          </w:p>
        </w:tc>
        <w:tc>
          <w:tcPr>
            <w:tcW w:w="4392" w:type="dxa"/>
          </w:tcPr>
          <w:p w:rsidR="00EB5F19" w:rsidRPr="00966F78" w:rsidRDefault="007E4DEA" w:rsidP="007E4DEA">
            <w:pPr>
              <w:spacing w:after="120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</w:t>
            </w:r>
            <w:r w:rsidR="00EB5F19" w:rsidRPr="00966F78">
              <w:rPr>
                <w:rFonts w:ascii="GHEA Grapalat" w:hAnsi="GHEA Grapalat"/>
                <w:b/>
              </w:rPr>
              <w:t>նդգրկում</w:t>
            </w:r>
          </w:p>
        </w:tc>
      </w:tr>
      <w:tr w:rsidR="006277A9" w:rsidRPr="00966F78" w:rsidTr="007E4DEA">
        <w:tc>
          <w:tcPr>
            <w:tcW w:w="3618" w:type="dxa"/>
          </w:tcPr>
          <w:p w:rsidR="006277A9" w:rsidRPr="006277A9" w:rsidRDefault="006277A9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Նախագահի աշխատա</w:t>
            </w:r>
            <w:r w:rsidRPr="006277A9">
              <w:rPr>
                <w:rFonts w:ascii="GHEA Grapalat" w:hAnsi="GHEA Grapalat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t>կազմ</w:t>
            </w:r>
          </w:p>
        </w:tc>
        <w:tc>
          <w:tcPr>
            <w:tcW w:w="5166" w:type="dxa"/>
          </w:tcPr>
          <w:p w:rsidR="006277A9" w:rsidRDefault="006277A9" w:rsidP="006277A9">
            <w:pPr>
              <w:spacing w:after="120"/>
              <w:jc w:val="both"/>
              <w:rPr>
                <w:rFonts w:ascii="GHEA Grapalat" w:hAnsi="GHEA Grapalat"/>
                <w:b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4392" w:type="dxa"/>
          </w:tcPr>
          <w:p w:rsidR="006277A9" w:rsidRDefault="006277A9" w:rsidP="006277A9">
            <w:pPr>
              <w:spacing w:after="120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EC2CF5" w:rsidRPr="00966F78" w:rsidTr="007E4DEA">
        <w:tc>
          <w:tcPr>
            <w:tcW w:w="3618" w:type="dxa"/>
          </w:tcPr>
          <w:p w:rsidR="00EC2CF5" w:rsidRPr="006277A9" w:rsidRDefault="00EC2CF5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ՀՀ արտաքին գործերի նախարարություն</w:t>
            </w:r>
          </w:p>
        </w:tc>
        <w:tc>
          <w:tcPr>
            <w:tcW w:w="5166" w:type="dxa"/>
          </w:tcPr>
          <w:p w:rsidR="00EC2CF5" w:rsidRPr="007E4DEA" w:rsidRDefault="00EC2CF5" w:rsidP="006277A9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EC2CF5">
              <w:rPr>
                <w:rFonts w:ascii="GHEA Grapalat" w:hAnsi="GHEA Grapalat" w:cs="Sylfaen"/>
                <w:sz w:val="24"/>
              </w:rPr>
              <w:t>Փաստաթղթի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կնքումը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համապատա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սխանում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է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Հայաստանի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Հանրապետության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վարած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արտաքին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քաղաքականությանը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և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ստանձնած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միջազգային</w:t>
            </w:r>
            <w:r w:rsidRPr="00EC2CF5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EC2CF5">
              <w:rPr>
                <w:rFonts w:ascii="GHEA Grapalat" w:hAnsi="GHEA Grapalat" w:cs="Sylfaen"/>
                <w:sz w:val="24"/>
              </w:rPr>
              <w:t>պարտավորու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թյուն</w:t>
            </w:r>
            <w:r>
              <w:rPr>
                <w:rFonts w:ascii="GHEA Grapalat" w:hAnsi="GHEA Grapalat" w:cs="Sylfaen"/>
                <w:sz w:val="24"/>
              </w:rPr>
              <w:softHyphen/>
            </w:r>
            <w:r w:rsidRPr="00EC2CF5">
              <w:rPr>
                <w:rFonts w:ascii="GHEA Grapalat" w:hAnsi="GHEA Grapalat" w:cs="Sylfaen"/>
                <w:sz w:val="24"/>
              </w:rPr>
              <w:t>ներին</w:t>
            </w:r>
            <w:r>
              <w:rPr>
                <w:rFonts w:ascii="GHEA Grapalat" w:hAnsi="GHEA Grapalat" w:cs="Sylfaen"/>
                <w:sz w:val="24"/>
              </w:rPr>
              <w:t>:</w:t>
            </w:r>
          </w:p>
        </w:tc>
        <w:tc>
          <w:tcPr>
            <w:tcW w:w="4392" w:type="dxa"/>
          </w:tcPr>
          <w:p w:rsidR="00EC2CF5" w:rsidRDefault="00EC2CF5" w:rsidP="006277A9">
            <w:pPr>
              <w:spacing w:after="12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7E4DEA" w:rsidRPr="00966F78" w:rsidTr="007E4DEA">
        <w:tc>
          <w:tcPr>
            <w:tcW w:w="3618" w:type="dxa"/>
          </w:tcPr>
          <w:p w:rsidR="007E4DEA" w:rsidRPr="006277A9" w:rsidRDefault="007E4DEA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5166" w:type="dxa"/>
          </w:tcPr>
          <w:p w:rsidR="007E4DEA" w:rsidRDefault="007E4DEA" w:rsidP="007E4DEA">
            <w:pPr>
              <w:spacing w:after="120"/>
              <w:jc w:val="both"/>
              <w:rPr>
                <w:rFonts w:ascii="GHEA Grapalat" w:hAnsi="GHEA Grapalat"/>
                <w:b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>Պրակտիկայում միջազգային պայմանա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softHyphen/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>գրերի նկատմամբ կիրառվող ալտերնատի սկզբունքին համապատասխան՝ նախագծի հայերեն լեզվով տեքստի նախաբանում և ստորագրման հատվածում Կողմերի անվանումները նշելիս անհրաժեշտ է հայկական կողմի անվանումը նշել սկզբում:</w:t>
            </w:r>
          </w:p>
        </w:tc>
        <w:tc>
          <w:tcPr>
            <w:tcW w:w="4392" w:type="dxa"/>
          </w:tcPr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</w:t>
            </w:r>
            <w:r w:rsidRPr="007E4DEA">
              <w:rPr>
                <w:rFonts w:ascii="GHEA Grapalat" w:hAnsi="GHEA Grapalat"/>
                <w:sz w:val="24"/>
                <w:szCs w:val="24"/>
              </w:rPr>
              <w:t>նդգրկված</w:t>
            </w:r>
            <w:r w:rsidR="009E0700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bookmarkStart w:id="0" w:name="_GoBack"/>
            <w:bookmarkEnd w:id="0"/>
          </w:p>
          <w:p w:rsidR="007E4DEA" w:rsidRDefault="007E4DEA" w:rsidP="007E4DEA">
            <w:pPr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</w:tr>
      <w:tr w:rsidR="007E4DEA" w:rsidRPr="00966F78" w:rsidTr="007E4DEA">
        <w:tc>
          <w:tcPr>
            <w:tcW w:w="3618" w:type="dxa"/>
          </w:tcPr>
          <w:p w:rsidR="007E4DEA" w:rsidRPr="006277A9" w:rsidRDefault="007E4DEA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5166" w:type="dxa"/>
          </w:tcPr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Նախագծում բացակայում է համաձայնագրի առարկան սահմանող դրույթը: Նպատակահարմար է այն շարադրել նախաբանից հետո՝ հետևյալ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խմբագրությամբ. «</w:t>
            </w:r>
            <w:r w:rsidRPr="007E4DEA">
              <w:rPr>
                <w:rFonts w:ascii="GHEA Grapalat" w:hAnsi="GHEA Grapalat"/>
                <w:sz w:val="24"/>
                <w:szCs w:val="24"/>
                <w:lang w:val="hy-AM"/>
              </w:rPr>
              <w:t>Կողմերը սույն Հ</w:t>
            </w:r>
            <w:r w:rsidRPr="007E4DEA">
              <w:rPr>
                <w:rFonts w:ascii="GHEA Grapalat" w:hAnsi="GHEA Grapalat"/>
                <w:sz w:val="24"/>
                <w:szCs w:val="24"/>
              </w:rPr>
              <w:t>ամաձայնագրին</w:t>
            </w:r>
            <w:r w:rsidRPr="007E4DE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իրենց </w:t>
            </w:r>
            <w:r w:rsidRPr="007E4DEA">
              <w:rPr>
                <w:rFonts w:ascii="GHEA Grapalat" w:hAnsi="GHEA Grapalat"/>
                <w:sz w:val="24"/>
                <w:szCs w:val="24"/>
              </w:rPr>
              <w:t>պետությունների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ներքին օրենսդրությանը և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 իրավունքի հանրաճանաչ սկզբունքներին և նորմերին համապատասխան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համագործակցում են </w:t>
            </w:r>
            <w:r w:rsidRPr="007E4DEA">
              <w:rPr>
                <w:rFonts w:ascii="GHEA Grapalat" w:hAnsi="GHEA Grapalat"/>
                <w:sz w:val="24"/>
                <w:szCs w:val="24"/>
              </w:rPr>
              <w:t>կրթական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7E4DEA"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աստիճանների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և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գիտական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կոչումների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նմուշի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փոխադարձ</w:t>
            </w:r>
            <w:r w:rsidRPr="007E4DE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/>
                <w:sz w:val="24"/>
                <w:szCs w:val="24"/>
              </w:rPr>
              <w:t>ճանաչման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ոլորտում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>:»:</w:t>
            </w:r>
          </w:p>
        </w:tc>
        <w:tc>
          <w:tcPr>
            <w:tcW w:w="4392" w:type="dxa"/>
          </w:tcPr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Ա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յս կարծիքը համընկնում է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 xml:space="preserve">Ակադեմիական փոխճանաչման և շարժունության ազգային  տեղեկատվական կենտրոնի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lastRenderedPageBreak/>
              <w:t>կարծիքի հետ,ընդգրված է ԱՓՇԱՏԿ-ի տարբերակը</w:t>
            </w:r>
          </w:p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B5F19" w:rsidRPr="007E4DEA" w:rsidTr="007E4DEA">
        <w:tc>
          <w:tcPr>
            <w:tcW w:w="3618" w:type="dxa"/>
          </w:tcPr>
          <w:p w:rsidR="00EB5F19" w:rsidRPr="006277A9" w:rsidRDefault="00EB5F19" w:rsidP="006277A9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lastRenderedPageBreak/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արդարադատության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նախարարություն</w:t>
            </w:r>
          </w:p>
        </w:tc>
        <w:tc>
          <w:tcPr>
            <w:tcW w:w="5166" w:type="dxa"/>
          </w:tcPr>
          <w:p w:rsidR="00EB5F19" w:rsidRPr="007E4DEA" w:rsidRDefault="00EB5F19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>1-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 2-րդ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հոդվածներում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ողջ տեքստում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>«երկրներ»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«երկու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պետություններ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բառերն անհրաժեշտ է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համապատասխանաբար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>փոխարինել «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պետություններ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«Կողմերի պետություններ» բառերով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7E4DEA">
              <w:rPr>
                <w:rFonts w:ascii="GHEA Grapalat" w:hAnsi="GHEA Grapalat" w:cs="Sylfaen"/>
                <w:sz w:val="24"/>
                <w:szCs w:val="24"/>
              </w:rPr>
              <w:t>հոլովաձևերով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EB5F19" w:rsidRPr="007E4DEA" w:rsidRDefault="00EB5F19" w:rsidP="007E4DEA">
            <w:pPr>
              <w:spacing w:after="120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EB5F19" w:rsidRPr="007E4DEA" w:rsidRDefault="00EB5F19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92" w:type="dxa"/>
          </w:tcPr>
          <w:p w:rsidR="00DB4916" w:rsidRPr="007E4DEA" w:rsidRDefault="007E4DEA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="00DB4916" w:rsidRPr="007E4DEA">
              <w:rPr>
                <w:rFonts w:ascii="GHEA Grapalat" w:hAnsi="GHEA Grapalat" w:cs="Sylfaen"/>
                <w:sz w:val="24"/>
                <w:szCs w:val="24"/>
              </w:rPr>
              <w:t>նդգրկված է</w:t>
            </w:r>
          </w:p>
          <w:p w:rsidR="00EB5F19" w:rsidRPr="007E4DEA" w:rsidRDefault="00EB5F19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E4DEA" w:rsidRPr="007E4DEA" w:rsidTr="007E4DEA">
        <w:tc>
          <w:tcPr>
            <w:tcW w:w="3618" w:type="dxa"/>
          </w:tcPr>
          <w:p w:rsidR="007E4DEA" w:rsidRPr="006277A9" w:rsidRDefault="007E4DEA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ՀՀ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ֆինանսների</w:t>
            </w:r>
            <w:r w:rsidRPr="006277A9">
              <w:rPr>
                <w:rFonts w:ascii="GHEA Grapalat" w:hAnsi="GHEA Grapalat"/>
                <w:b/>
              </w:rPr>
              <w:t xml:space="preserve"> </w:t>
            </w:r>
            <w:r w:rsidRPr="006277A9">
              <w:rPr>
                <w:rFonts w:ascii="GHEA Grapalat" w:hAnsi="GHEA Grapalat" w:cs="Sylfaen"/>
                <w:b/>
              </w:rPr>
              <w:t>նախա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րա</w:t>
            </w:r>
            <w:r w:rsidRPr="006277A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րու</w:t>
            </w:r>
            <w:r w:rsidRPr="006277A9">
              <w:rPr>
                <w:rFonts w:ascii="GHEA Grapalat" w:hAnsi="GHEA Grapalat"/>
                <w:b/>
              </w:rPr>
              <w:softHyphen/>
            </w:r>
            <w:r w:rsidRPr="006277A9">
              <w:rPr>
                <w:rFonts w:ascii="GHEA Grapalat" w:hAnsi="GHEA Grapalat"/>
                <w:b/>
                <w:lang w:val="en-US"/>
              </w:rPr>
              <w:softHyphen/>
            </w:r>
            <w:r w:rsidRPr="006277A9">
              <w:rPr>
                <w:rFonts w:ascii="GHEA Grapalat" w:hAnsi="GHEA Grapalat"/>
                <w:b/>
              </w:rPr>
              <w:t>թյուն</w:t>
            </w:r>
          </w:p>
        </w:tc>
        <w:tc>
          <w:tcPr>
            <w:tcW w:w="5166" w:type="dxa"/>
          </w:tcPr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Դիտողություններ և առաջարկություններ չկան</w:t>
            </w:r>
          </w:p>
        </w:tc>
        <w:tc>
          <w:tcPr>
            <w:tcW w:w="4392" w:type="dxa"/>
          </w:tcPr>
          <w:p w:rsidR="007E4DEA" w:rsidRPr="007E4DEA" w:rsidRDefault="007E4DEA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  <w:lang w:val="en-US"/>
              </w:rPr>
            </w:pPr>
            <w:r w:rsidRPr="006277A9">
              <w:rPr>
                <w:rFonts w:ascii="GHEA Grapalat" w:hAnsi="GHEA Grapalat" w:cs="Sylfaen"/>
                <w:b/>
              </w:rPr>
              <w:t>Ակադեմիական փոխճանա</w:t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7E4DEA" w:rsidRDefault="009610D3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E4DEA">
              <w:rPr>
                <w:rFonts w:ascii="GHEA Grapalat" w:hAnsi="GHEA Grapalat"/>
                <w:b/>
                <w:sz w:val="24"/>
                <w:szCs w:val="24"/>
              </w:rPr>
              <w:t>Предлагается во всех статьях и также в заглавие  заменить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 «документы  об образовании» на  «квалификации »  и сделать  сноску   с определением   ****  </w:t>
            </w:r>
            <w:r w:rsidRPr="007E4DEA">
              <w:rPr>
                <w:rFonts w:ascii="GHEA Grapalat" w:hAnsi="GHEA Grapalat" w:cs="Verdana"/>
                <w:b/>
                <w:bCs/>
                <w:i/>
                <w:iCs/>
                <w:sz w:val="24"/>
                <w:szCs w:val="24"/>
              </w:rPr>
              <w:t xml:space="preserve">Квалификация образования </w:t>
            </w:r>
            <w:r w:rsidRPr="007E4DEA">
              <w:rPr>
                <w:rFonts w:ascii="GHEA Grapalat" w:hAnsi="GHEA Grapalat" w:cs="Verdana"/>
                <w:sz w:val="24"/>
                <w:szCs w:val="24"/>
              </w:rPr>
              <w:t xml:space="preserve">это любой документ о присуждении степени, диплом </w:t>
            </w:r>
            <w:r w:rsidRPr="007E4DEA">
              <w:rPr>
                <w:rFonts w:ascii="GHEA Grapalat" w:hAnsi="GHEA Grapalat" w:cs="Verdana"/>
                <w:sz w:val="24"/>
                <w:szCs w:val="24"/>
              </w:rPr>
              <w:lastRenderedPageBreak/>
              <w:t>или иное свидетельство, выданное полномочным органом и удостоверяющее успешное завершение учебной программы образования.</w:t>
            </w:r>
          </w:p>
        </w:tc>
        <w:tc>
          <w:tcPr>
            <w:tcW w:w="4392" w:type="dxa"/>
          </w:tcPr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lastRenderedPageBreak/>
              <w:t>Ընդգրկված է հոդված 2-ով,ապա փոխված մնացած հոդվածները հերթականությամբ</w:t>
            </w: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lastRenderedPageBreak/>
              <w:t>Ակադեմիական փոխճանա</w:t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9610D3" w:rsidRDefault="009610D3" w:rsidP="009610D3">
            <w:pPr>
              <w:spacing w:after="120"/>
              <w:jc w:val="both"/>
              <w:outlineLvl w:val="0"/>
              <w:rPr>
                <w:rFonts w:ascii="GHEA Grapalat" w:hAnsi="GHEA Grapalat"/>
                <w:b/>
                <w:sz w:val="24"/>
                <w:szCs w:val="24"/>
              </w:rPr>
            </w:pPr>
            <w:r w:rsidRPr="007E4DEA">
              <w:rPr>
                <w:rFonts w:ascii="GHEA Grapalat" w:hAnsi="GHEA Grapalat"/>
                <w:b/>
                <w:sz w:val="24"/>
                <w:szCs w:val="24"/>
              </w:rPr>
              <w:t>Предлагается во всех статьях и также в заглавии заменить термин «</w:t>
            </w:r>
            <w:r w:rsidRPr="007E4DEA">
              <w:rPr>
                <w:rFonts w:ascii="GHEA Grapalat" w:hAnsi="GHEA Grapalat"/>
                <w:sz w:val="24"/>
                <w:szCs w:val="24"/>
              </w:rPr>
              <w:t>эквива</w:t>
            </w:r>
            <w:r>
              <w:rPr>
                <w:rFonts w:ascii="GHEA Grapalat" w:hAnsi="GHEA Grapalat"/>
                <w:sz w:val="24"/>
                <w:szCs w:val="24"/>
              </w:rPr>
              <w:t>лентность» на «сопоставимость»</w:t>
            </w:r>
            <w:r w:rsidRPr="007E4DEA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Ընդգրկված է</w:t>
            </w: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Ակադեմիական փոխճանա</w:t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7E4DEA" w:rsidRDefault="009610D3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 xml:space="preserve">Учитывая,  что Страны –участники Соглашения имеют разные системы образования  и процесс диверсификации систем высшего образования  в большинстве стран усиливается, то будет целесообразнее  в данном Соглашении,    также определять основные положения, касающиеся </w:t>
            </w:r>
            <w:r w:rsidRPr="007E4DEA">
              <w:rPr>
                <w:rFonts w:ascii="GHEA Grapalat" w:hAnsi="GHEA Grapalat" w:cs="Arial"/>
                <w:sz w:val="24"/>
                <w:szCs w:val="24"/>
              </w:rPr>
              <w:t>признания документов, дающих доступ к высшему образованию. признание периодов обучения; признание квалификаций, обладателями которых являются беженцы или перемещенные лица.</w:t>
            </w:r>
          </w:p>
        </w:tc>
        <w:tc>
          <w:tcPr>
            <w:tcW w:w="4392" w:type="dxa"/>
          </w:tcPr>
          <w:p w:rsidR="009610D3" w:rsidRPr="007E4DEA" w:rsidRDefault="009610D3" w:rsidP="009610D3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 xml:space="preserve">Ընդգրկված չէ, սակայն ՀՀ ԿԳՆ նպատակահարմար է համարում ավելացնել հոդված՝ նշելով երկու կողմերի կրթական համակարգերը, ուստի առաջարկում ենք տաջիկական կողմի հետ քննարկել և ընդգրկել </w:t>
            </w:r>
          </w:p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Ակադեմիական փոխճանա</w:t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7E4DEA" w:rsidRDefault="009610D3" w:rsidP="009610D3">
            <w:pPr>
              <w:spacing w:after="12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E4DEA">
              <w:rPr>
                <w:rFonts w:ascii="GHEA Grapalat" w:hAnsi="GHEA Grapalat"/>
                <w:b/>
                <w:sz w:val="24"/>
                <w:szCs w:val="24"/>
              </w:rPr>
              <w:t>Предлагаетсявключить в Сооглашение</w:t>
            </w:r>
          </w:p>
          <w:p w:rsidR="009610D3" w:rsidRPr="009610D3" w:rsidRDefault="009610D3" w:rsidP="009610D3">
            <w:pPr>
              <w:spacing w:after="120"/>
              <w:jc w:val="both"/>
              <w:outlineLvl w:val="0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 xml:space="preserve">Данное Соглашение направленно на усиление  и расширение соотрудничества  в области высшего образования и использование трудовых рессурсов – с целью максимального развития интеграционных процессов между Странами, </w:t>
            </w:r>
            <w:r w:rsidRPr="007E4DEA">
              <w:rPr>
                <w:rFonts w:ascii="GHEA Grapalat" w:hAnsi="GHEA Grapalat"/>
                <w:sz w:val="24"/>
                <w:szCs w:val="24"/>
              </w:rPr>
              <w:lastRenderedPageBreak/>
              <w:t>поощрению знаний и  сохранению самобытности культур,  а также достижению постоянного и  последовательного улучшения качества образования, способствуя развитию экономики.</w:t>
            </w:r>
          </w:p>
        </w:tc>
        <w:tc>
          <w:tcPr>
            <w:tcW w:w="4392" w:type="dxa"/>
          </w:tcPr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lastRenderedPageBreak/>
              <w:t>Ընդգրկված է</w:t>
            </w: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lastRenderedPageBreak/>
              <w:t>Ակադեմիական փոխճանա</w:t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7E4DEA" w:rsidRDefault="009610D3" w:rsidP="007E4DEA">
            <w:pPr>
              <w:spacing w:after="1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 xml:space="preserve">В   связи  с тем, что в Странах участниках данного Соглашения существуют вузы, которые выдают </w:t>
            </w:r>
            <w:r w:rsidRPr="007E4DEA">
              <w:rPr>
                <w:rFonts w:ascii="GHEA Grapalat" w:hAnsi="GHEA Grapalat"/>
                <w:b/>
                <w:sz w:val="24"/>
                <w:szCs w:val="24"/>
              </w:rPr>
              <w:t xml:space="preserve">свой </w:t>
            </w:r>
            <w:r w:rsidRPr="007E4DEA">
              <w:rPr>
                <w:rFonts w:ascii="GHEA Grapalat" w:hAnsi="GHEA Grapalat"/>
                <w:sz w:val="24"/>
                <w:szCs w:val="24"/>
              </w:rPr>
              <w:t xml:space="preserve">диплом признаеваемый государством, то предлагаем не включать   в   название Соглашения  </w:t>
            </w:r>
            <w:r w:rsidRPr="007E4DEA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E4DEA">
              <w:rPr>
                <w:rFonts w:ascii="GHEA Grapalat" w:hAnsi="GHEA Grapalat"/>
                <w:sz w:val="24"/>
                <w:szCs w:val="24"/>
              </w:rPr>
              <w:t>документы государственного образца»  .</w:t>
            </w:r>
          </w:p>
        </w:tc>
        <w:tc>
          <w:tcPr>
            <w:tcW w:w="4392" w:type="dxa"/>
          </w:tcPr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>Ընդգրկված չէ, ՀՀ ԿԳՆ համամիտ չէ սույն կարծիքի հետ</w:t>
            </w:r>
          </w:p>
        </w:tc>
      </w:tr>
      <w:tr w:rsidR="009610D3" w:rsidRPr="007E4DEA" w:rsidTr="007E4DEA">
        <w:tc>
          <w:tcPr>
            <w:tcW w:w="3618" w:type="dxa"/>
          </w:tcPr>
          <w:p w:rsidR="009610D3" w:rsidRPr="006277A9" w:rsidRDefault="009610D3" w:rsidP="006277A9">
            <w:pPr>
              <w:pStyle w:val="ListParagraph"/>
              <w:numPr>
                <w:ilvl w:val="0"/>
                <w:numId w:val="5"/>
              </w:numPr>
              <w:tabs>
                <w:tab w:val="left" w:pos="270"/>
              </w:tabs>
              <w:spacing w:after="120"/>
              <w:ind w:left="0" w:firstLine="0"/>
              <w:jc w:val="both"/>
              <w:rPr>
                <w:rFonts w:ascii="GHEA Grapalat" w:hAnsi="GHEA Grapalat" w:cs="Sylfaen"/>
                <w:b/>
              </w:rPr>
            </w:pPr>
            <w:r w:rsidRPr="006277A9">
              <w:rPr>
                <w:rFonts w:ascii="GHEA Grapalat" w:hAnsi="GHEA Grapalat" w:cs="Sylfaen"/>
                <w:b/>
              </w:rPr>
              <w:t>Ակադեմիական փոխ</w:t>
            </w:r>
            <w:r w:rsidR="000656D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t>ճանա</w:t>
            </w:r>
            <w:r w:rsidR="000656D9">
              <w:rPr>
                <w:rFonts w:ascii="GHEA Grapalat" w:hAnsi="GHEA Grapalat" w:cs="Sylfaen"/>
                <w:b/>
                <w:lang w:val="en-US"/>
              </w:rPr>
              <w:softHyphen/>
            </w:r>
            <w:r w:rsidRPr="006277A9">
              <w:rPr>
                <w:rFonts w:ascii="GHEA Grapalat" w:hAnsi="GHEA Grapalat" w:cs="Sylfaen"/>
                <w:b/>
              </w:rPr>
              <w:softHyphen/>
              <w:t>չ</w:t>
            </w:r>
            <w:r w:rsidRPr="006277A9">
              <w:rPr>
                <w:rFonts w:ascii="GHEA Grapalat" w:hAnsi="GHEA Grapalat" w:cs="Sylfaen"/>
                <w:b/>
              </w:rPr>
              <w:softHyphen/>
              <w:t>ման և շարժունության ազգային  տեղեկատվական կենտրոն</w:t>
            </w:r>
          </w:p>
        </w:tc>
        <w:tc>
          <w:tcPr>
            <w:tcW w:w="5166" w:type="dxa"/>
          </w:tcPr>
          <w:p w:rsidR="009610D3" w:rsidRPr="007E4DEA" w:rsidRDefault="009610D3" w:rsidP="009610D3">
            <w:pPr>
              <w:spacing w:after="12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E4DEA">
              <w:rPr>
                <w:rFonts w:ascii="GHEA Grapalat" w:hAnsi="GHEA Grapalat"/>
                <w:b/>
                <w:sz w:val="24"/>
                <w:szCs w:val="24"/>
              </w:rPr>
              <w:t>Статью о качестве образования:</w:t>
            </w:r>
          </w:p>
          <w:p w:rsidR="009610D3" w:rsidRPr="009610D3" w:rsidRDefault="009610D3" w:rsidP="007E4DEA">
            <w:pPr>
              <w:spacing w:after="120"/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  <w:r w:rsidRPr="007E4DEA">
              <w:rPr>
                <w:rFonts w:ascii="GHEA Grapalat" w:hAnsi="GHEA Grapalat"/>
                <w:sz w:val="24"/>
                <w:szCs w:val="24"/>
              </w:rPr>
              <w:t>Стороны обязуются предоставлять адекватную информацию по любому учебному заведению, составляющему ее систему высшего образования, и по любой программе, осуществляемой этими заведениями, с целью предоставления полномочным органам возможности удостовериться, дает ли качество квалификаций, выданных этими заведениями, основание для признания квалификаций в  стране, где запрашивается признание.</w:t>
            </w:r>
          </w:p>
        </w:tc>
        <w:tc>
          <w:tcPr>
            <w:tcW w:w="4392" w:type="dxa"/>
          </w:tcPr>
          <w:p w:rsidR="009610D3" w:rsidRDefault="009610D3" w:rsidP="007E4DEA">
            <w:pPr>
              <w:spacing w:after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7E4DEA">
              <w:rPr>
                <w:rFonts w:ascii="GHEA Grapalat" w:hAnsi="GHEA Grapalat" w:cs="Sylfaen"/>
                <w:sz w:val="24"/>
                <w:szCs w:val="24"/>
              </w:rPr>
              <w:t>Ընդգրկված է և համալրված 15-րդ հոդվածով</w:t>
            </w:r>
          </w:p>
        </w:tc>
      </w:tr>
    </w:tbl>
    <w:p w:rsidR="009610D3" w:rsidRDefault="009610D3" w:rsidP="007E4DEA">
      <w:pPr>
        <w:spacing w:after="120"/>
        <w:rPr>
          <w:rFonts w:ascii="GHEA Grapalat" w:hAnsi="GHEA Grapalat"/>
          <w:sz w:val="24"/>
          <w:szCs w:val="24"/>
        </w:rPr>
      </w:pPr>
    </w:p>
    <w:p w:rsidR="00EB5F19" w:rsidRPr="009610D3" w:rsidRDefault="009610D3" w:rsidP="009610D3">
      <w:pPr>
        <w:spacing w:after="120"/>
        <w:jc w:val="right"/>
        <w:rPr>
          <w:rFonts w:ascii="GHEA Grapalat" w:hAnsi="GHEA Grapalat"/>
          <w:b/>
          <w:sz w:val="24"/>
          <w:szCs w:val="24"/>
        </w:rPr>
      </w:pPr>
      <w:r w:rsidRPr="009610D3">
        <w:rPr>
          <w:rFonts w:ascii="GHEA Grapalat" w:hAnsi="GHEA Grapalat"/>
          <w:b/>
          <w:sz w:val="24"/>
          <w:szCs w:val="24"/>
        </w:rPr>
        <w:t>ՀՀ կրթության և գիտության նախարարություն</w:t>
      </w:r>
    </w:p>
    <w:sectPr w:rsidR="00EB5F19" w:rsidRPr="009610D3" w:rsidSect="00EB5F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A36"/>
    <w:multiLevelType w:val="hybridMultilevel"/>
    <w:tmpl w:val="32A8D41C"/>
    <w:lvl w:ilvl="0" w:tplc="21343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30B4A"/>
    <w:multiLevelType w:val="hybridMultilevel"/>
    <w:tmpl w:val="C84CBE60"/>
    <w:lvl w:ilvl="0" w:tplc="9E9C4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2FEF"/>
    <w:multiLevelType w:val="hybridMultilevel"/>
    <w:tmpl w:val="8760D546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02FE1"/>
    <w:multiLevelType w:val="hybridMultilevel"/>
    <w:tmpl w:val="3014B604"/>
    <w:lvl w:ilvl="0" w:tplc="3BA2224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A0D9B"/>
    <w:multiLevelType w:val="hybridMultilevel"/>
    <w:tmpl w:val="EF02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5F19"/>
    <w:rsid w:val="000656D9"/>
    <w:rsid w:val="00124EDA"/>
    <w:rsid w:val="001C0383"/>
    <w:rsid w:val="002245A3"/>
    <w:rsid w:val="002509ED"/>
    <w:rsid w:val="00336398"/>
    <w:rsid w:val="006277A9"/>
    <w:rsid w:val="007E4DEA"/>
    <w:rsid w:val="008447E5"/>
    <w:rsid w:val="009610D3"/>
    <w:rsid w:val="00966F78"/>
    <w:rsid w:val="009E0700"/>
    <w:rsid w:val="00BA6994"/>
    <w:rsid w:val="00C7223E"/>
    <w:rsid w:val="00CD6191"/>
    <w:rsid w:val="00DB4916"/>
    <w:rsid w:val="00EB5F19"/>
    <w:rsid w:val="00EC2CF5"/>
    <w:rsid w:val="00F6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9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Narafinans</dc:creator>
  <cp:lastModifiedBy>Grigoryan Narine</cp:lastModifiedBy>
  <cp:revision>8</cp:revision>
  <dcterms:created xsi:type="dcterms:W3CDTF">2016-05-26T10:20:00Z</dcterms:created>
  <dcterms:modified xsi:type="dcterms:W3CDTF">2016-06-14T10:07:00Z</dcterms:modified>
</cp:coreProperties>
</file>