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8" w:rsidRPr="007B06BA" w:rsidRDefault="009766C8" w:rsidP="009766C8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>Նախագիծ</w:t>
      </w:r>
    </w:p>
    <w:p w:rsidR="009766C8" w:rsidRPr="007B06BA" w:rsidRDefault="009766C8" w:rsidP="009766C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9766C8" w:rsidRPr="007B06BA" w:rsidRDefault="009766C8" w:rsidP="009766C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Ձ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9766C8" w:rsidRPr="007B06BA" w:rsidRDefault="009766C8" w:rsidP="009766C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«2009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20-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Անկախ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Պետությունների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Համագործակցությունում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ապրանքների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ծագման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երկրի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Կանոնների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ամաձայնագրում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766C8" w:rsidRPr="007B06BA" w:rsidRDefault="009766C8" w:rsidP="009766C8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766C8" w:rsidRPr="007B06BA" w:rsidRDefault="009766C8" w:rsidP="009766C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«2009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20-</w:t>
      </w:r>
      <w:r w:rsidRPr="007B06BA">
        <w:rPr>
          <w:rFonts w:ascii="GHEA Grapalat" w:hAnsi="GHEA Grapalat" w:cs="Sylfaen"/>
          <w:sz w:val="24"/>
          <w:szCs w:val="24"/>
          <w:lang w:val="hy-AM"/>
        </w:rPr>
        <w:t>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Համագործակցությունում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7B06BA">
        <w:rPr>
          <w:rFonts w:ascii="GHEA Grapalat" w:hAnsi="GHEA Grapalat" w:cs="Sylfaen"/>
          <w:sz w:val="24"/>
          <w:szCs w:val="24"/>
          <w:lang w:val="hy-AM"/>
        </w:rPr>
        <w:t>ամաձայնագրի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B06BA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` Համաձայնագիր)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մասնակից -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կառավարությունները,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7B06BA">
        <w:rPr>
          <w:rFonts w:ascii="GHEA Grapalat" w:hAnsi="GHEA Grapalat" w:cs="Sylfaen"/>
          <w:sz w:val="24"/>
          <w:szCs w:val="24"/>
          <w:lang w:val="hy-AM"/>
        </w:rPr>
        <w:t>Կողմեր,</w:t>
      </w:r>
    </w:p>
    <w:p w:rsidR="009766C8" w:rsidRPr="007B06BA" w:rsidRDefault="009766C8" w:rsidP="009766C8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/>
          <w:sz w:val="24"/>
          <w:szCs w:val="24"/>
          <w:lang w:val="hy-AM"/>
        </w:rPr>
        <w:tab/>
      </w:r>
      <w:r w:rsidRPr="007B06BA">
        <w:rPr>
          <w:rFonts w:ascii="GHEA Grapalat" w:hAnsi="GHEA Grapalat"/>
          <w:b/>
          <w:sz w:val="24"/>
          <w:szCs w:val="24"/>
          <w:lang w:val="hy-AM"/>
        </w:rPr>
        <w:t>հ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ամաձայնեցին</w:t>
      </w:r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7B06BA">
        <w:rPr>
          <w:rFonts w:ascii="GHEA Grapalat" w:hAnsi="GHEA Grapalat" w:cs="Sylfaen"/>
          <w:b/>
          <w:sz w:val="24"/>
          <w:szCs w:val="24"/>
          <w:lang w:val="hy-AM"/>
        </w:rPr>
        <w:t>ներքոնշյալի</w:t>
      </w:r>
      <w:proofErr w:type="spellEnd"/>
      <w:r w:rsidRPr="007B06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06B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7B06BA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Պայմանների, արտադրական և տեխնոլոգիական գործողությունների, որոնց կատարման դեպքում ապրանքը համարվում է ծագած այն երկրից, որտեղ դրանք տեղի են ունեցել, ցանկում (Ապրանքների ծագման երկրի որոշման կանոնների 1-ին հավելված, որը հանդիսանում է Համաձայնագրի </w:t>
      </w:r>
      <w:r w:rsidR="00923604"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անբաժան</w:t>
      </w: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մասը) կատարել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փոփոխությունները.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ԱՏԳ ԱԱ «0408»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4380"/>
        <w:gridCol w:w="3768"/>
      </w:tblGrid>
      <w:tr w:rsidR="00BA7E06" w:rsidRPr="005F3811" w:rsidTr="005C1931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0408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Թռչունների ձվեր առանց կճեպի և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դեղնուցներ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թարմ, չորացրած, եփած եռացրած ջրում կամ շոգեխաշած,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կաղապարած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սառեցրած կամ այլ կերպ պահածոյացրած, շաքար կամ քաղցրացնող այլ նյութեր ավելացրած կամ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չավելացրած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Պատրաստում բոլոր դիրքերի նյութերից, բացառությամբ` 0407 դիրքի թռչունների ձվերի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ԱՏԳ ԱԱ «0902»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215"/>
        <w:gridCol w:w="3780"/>
      </w:tblGrid>
      <w:tr w:rsidR="00BA7E06" w:rsidRPr="005F3811" w:rsidTr="005C193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0902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Թեյ`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համաբուրավետիչ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հավելումներով կամ առանց դրանց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Պատրաստում 0902 դիրքի նյութերից`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կուպաժային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խառնուրդի և բաղադրատոմսերը կազմելու տեխնոլոգիական գործողությունները կատարելու պայմանով, սակայն բոլոր օգտագործվող նյութերի արժեքը չպետք է գերազանցի վերջնական արտադրանքի գնի 50%-ը: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ԱՏԳ ԱԱ «2101 11-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931"/>
        <w:gridCol w:w="3769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2101 11 00-ից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ab/>
              <w:t>Լուծվող սուրճ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0901 և 2101 11 դիրքի նյութերից հիմնական տեխնոլոգիական պրոցեսների համակարգի իրականացման պայմանով. բովում, մանրացում,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լուծահանում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խտացում (կամ չորացում): Ընդ որում պատրաստի արտադրանքի դիրքի նույն ապրանքային դիրքին դասվող` օգտագործվող նյութերի արժեքը չպետք է գերազանցի վերջնական արտադրանքի գնի 50%-ը: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ԱՏԳ ԱԱ «2106-ից»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20"/>
        <w:gridCol w:w="3767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2106-ից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Շաքարահյութեր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համաբուրավետիչ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ներկող հավելումներով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Պատրաստում, որի ժամանակ օգտագործվող բոլոր նյութերի արժեքը չպետք է գերազանցի վերջնական արտադրանքի գնի 50%-ը: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ԱՏԳ ԱԱ «2202 90 100-ից»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618"/>
        <w:gridCol w:w="3770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2202 99 190-ից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proofErr w:type="spellStart"/>
            <w:r w:rsidRPr="007B06BA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>Նեկտարներ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ցանկացած ապրանքային դիրքի նյութերից: Սակայն պատրաստի արտադրանքի դիրքի նույն ապրանքային դիրքին դասվող` 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օգտագործվող նյութերի արժեքը չպետք է գերազանցի վերջնական արտադրանքի գնի 50%-ը և կատարելով այնպիսի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տեխնոլո-գիական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գործողություններ, ինչպիսիք են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կուպաժը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(բազմատարր հյութերի համար),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համասեռացումը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(պտղամիս պարունակող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նեկտարների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համար),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օդազերծումը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ջերմամշակումը (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պաստերացում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ստերիլիզացում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 և այլ, բացի վերականգնումից: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ԱՏԳ ԱԱ «2206 00»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618"/>
        <w:gridCol w:w="3770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2206 00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Խմիչքներ այլ խմորված (օրինակ`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սիդր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պերրի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տանձի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սիդր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մեղրի ըմպելիք,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սակե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խառնուրդներ խմորված ըմպելիքների և ոչ ալկոհոլային խմիչքների, այլ տեղում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չհիշատակված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չներառված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ցանկացած ապրանքային դիրքի նյութերից`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կուպաժի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ֆիլտրման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հետագա և այլ տեխնոլոգիական գործողությունների կատարման պայմանով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ԱՏԳ ԱԱ «25 խմբից»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3616"/>
        <w:gridCol w:w="3773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 խմբից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Աղ, ծծումբ, հող կամ քար,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սվաղային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նյութեր, կիր և ցեմենտ, բացի 2501 00, 2504-ից, 2515 12 000, 2516, 2518-ից,  2519, 2522, 2523, 2524, 2525-ից դիրքի դասվող ապրանքներից, որոնց համար կիրառվող կանոնները շարադրվում են հետագայում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ցանկացած դիրքի նյութերից` մասնագիտացված արտադրության պայմաններում` մշակման/վերամշակման,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ածխով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հարստացման, մաքրման, կոշտ բյուրեղով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աղացման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կտրատման,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կալցինացման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տեխնոլոգիաներին համապատասխան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 ԱՏԳ ԱԱ «2515 12 500»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19"/>
        <w:gridCol w:w="3768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2515 12 000-ից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Մարմար և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տրավերտին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կրային տուֆ` սղոցված կամ ուրիշ եղանակով բաժանված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բլոկերի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ուղղանկյուն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սալերի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(ներառյալ քառակուսի)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ձևերի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4սմ-ից ավելի, բայց 25 սմ չգերազանցող լայնությամբ: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Սղոցում կամ ուրիշ եղանակով 25 սմ հաստությամբ քարե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բլոկերի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բաժանում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ԱՏԳ ԱԱ «2518»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3928"/>
        <w:gridCol w:w="3774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2518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Դոլոմիտ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կալցինացված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չկալցինացված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եռակալված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չեռակալված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ներառյալ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դոլոմիտ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մեծ կտորներով ջարդած կամ սղոցված կամ բաժանված այլ եղանակով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բլոկերի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սալերի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ուղղանկյուն (ներառյալ քառակուսի)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ձևերի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դոլոմիտային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խծուծման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խառնուրդ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Ջարդում, սղոցում,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մանրացում,չկալցինացված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դոլոմիտի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համար`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կալցինացում</w:t>
            </w:r>
            <w:proofErr w:type="spellEnd"/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 ԱՏԳ ԱԱ «2523»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395"/>
        <w:gridCol w:w="3780"/>
      </w:tblGrid>
      <w:tr w:rsidR="00BA7E06" w:rsidRPr="005F3811" w:rsidTr="005C1931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2523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Պորտլանդցեմենտ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կավահողային ցեմենտ, խարամային ցեմենտ,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սուպերսուլֆատային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ցեմենտ և նույնանման հիդրավլիկ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ցեմենտներ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չներկած կամ ներկած, պատրաստի կամ թրծած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բովախառնուրդների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կլինկերների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ձևով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Արտադրության մասնագիտացված արտադրական պայմաններում ցանկացած արտադրանքի նյութերից պատրաստված արտադրանք` արտադրության տեխնոլոգիաներին համապատասխան, ներառյալ հումքի արդյունահանման,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ջարդման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հորատման, հումքի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հրդեհման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ցեմենտի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կլենկերի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հովացման և պարտադիր նյութերի հալման գործընթացները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ԱՏԳ ԱԱ «2707 50 100»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410"/>
        <w:gridCol w:w="3780"/>
      </w:tblGrid>
      <w:tr w:rsidR="00BA7E06" w:rsidRPr="005F3811" w:rsidTr="005C1931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2707 50 100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Արոմատիկ ածխաջրածինների խառնուրդներ այլ, որոնց 65 կամ ավելի ծավ. % (ներառյալ կորուստները)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թորվում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է 250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0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C-ում ISO 3405  մեթոդով (ASTM D 86 մեթոդին համարժեք) որպես վառելանյութ օգտագործելու համար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Զտման գործողություններ և/կամ մեկ կամ մի քանի որոշակի մշակումներ: Այլ գործողություններ, որի ժամանակ բոլոր օգտագործվող նյութերը պետք է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դասակարգվեն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արտադրանքի դիրքից տարբեր դիրքում: Սակայն կարող է օգտագործվել մեկ արտադրանքի հետ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միևնույն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դիրքի նյութ, պայմանով, որ դրա արժեքը չի գերազանցում վերջնական արտադրանքի գնի 50 %-ը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12. ԱՏԳ ԱԱ «28 խմբից»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4415"/>
        <w:gridCol w:w="3780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28 խմբից</w:t>
            </w:r>
          </w:p>
        </w:tc>
        <w:tc>
          <w:tcPr>
            <w:tcW w:w="4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Արտադրանք անօրգանական քիմիայի, թանկարժեք մետաղների օրգանական և անօրգանական միացություններ, հազվագյուտ մետաղների, ռադիոակտիվ տարրերի և իզոտոպների, բացի 2811 29 100, 2818 20 000, 2821 20 000, 2833 22 000-ից, 2844 10-ից, 2844 20-ից  դիրքի ապրանքներից, որոնց համար կիրառվող կանոնները շարադրվում են այնուհետ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Պատրաստում, որի ժամանակ բոլոր օգտագործվող նյութերը պետք է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դասակարգվեն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արտադրանքի դիրքից տարբեր դիրքում: Սակայն, պատրաստվածքի հետ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միևնույն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ապրանքային դիրքի նյութերը կարող են օգտագործվել պայմանով, որ դրանց արժեքը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չգերազանզի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վերջնական արտադրանքի գնի 20 %-ը: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13. ԱՏԳ ԱԱ «29 խմբից»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080"/>
        <w:gridCol w:w="3780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29 խմբից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Քիմիական օրգանական միացություններ, բացառությամբ` 2901-ից, 2902-ից, 2905 19 000-ից, 2915-ից, 2932 99 100, 2933, 2934, 2939 80 000-ից դիրքերի միացություններից, որոնց համար օգտագործվող կանոնները շարադրվում են այնուհետ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ցանկացած դիրքի նյութերից, որի ժամանակ բոլոր օգտագործվող նյութերը պետք է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դասակարգվեն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արտադրանքի դիրքից տարբեր դիրքում: Սակայն, արտադրանքի հետ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միևնույն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ապրանքային դիրքի նյութերը կարող են օգտագործվել պայմանով, որ նրանց արժեքը 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չգերազանցի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14. ԱՏԳ ԱԱ «2934»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տողից հետո ավելացնել  ԱՏԳ ԱԱ «2939 80 000»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տողը`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19"/>
        <w:gridCol w:w="3768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2939 80 000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Այլ ա</w:t>
            </w:r>
            <w:r w:rsidRPr="007B06BA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 xml:space="preserve">լկալոիդներ, բնական կամ </w:t>
            </w:r>
            <w:proofErr w:type="spellStart"/>
            <w:r w:rsidRPr="007B06BA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>սինթեզված</w:t>
            </w:r>
            <w:proofErr w:type="spellEnd"/>
            <w:r w:rsidRPr="007B06BA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 xml:space="preserve">, դրանց աղերը, պարզ և բարդ </w:t>
            </w:r>
            <w:proofErr w:type="spellStart"/>
            <w:r w:rsidRPr="007B06BA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>եթերներ</w:t>
            </w:r>
            <w:proofErr w:type="spellEnd"/>
            <w:r w:rsidRPr="007B06BA">
              <w:rPr>
                <w:rFonts w:ascii="GHEA Grapalat" w:eastAsia="Times New Roman" w:hAnsi="GHEA Grapalat" w:cs="Arial Unicode"/>
                <w:sz w:val="24"/>
                <w:szCs w:val="24"/>
                <w:lang w:val="hy-AM"/>
              </w:rPr>
              <w:t xml:space="preserve"> և դրանց այլ ածանցյալներ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B0634A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Պատրաստում ցանկացած ապրանքային դիրքի նյութերից: Սակայն 2932, 2933 կամ 2934 դիրքերից օգտագործվ</w:t>
            </w:r>
            <w:r w:rsidR="00B0634A"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ող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նյութերի արժեքը չգերազանցի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15. ԱՏԳ ԱԱ «30 խմբից»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3619"/>
        <w:gridCol w:w="3767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 խմբից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Դեղագործական արտադրանք, բացառությամբ` 3002, 3003, 3005 և 3006 60 000 դիրքերի արտադրանքից, որոնց համար օգտագործվող կանոնները ներկայացված են այնուհետ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Պատրաստում, որի ժամանակ բոլոր օգտագործվող նյութերը պետք է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դասակարգվեն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արտադրանքի դիրքից տարբեր դիրքում: Սակայն, արտադրանքի հետ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միևնույն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ապրանքային դիրքի նյութերը կարող են օգտագործվել պայմանով, որ նրանց արժեքը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չգերազանզի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16. ԱՏԳ ԱԱ «3002»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622"/>
        <w:gridCol w:w="3766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Մարդկային արյուն, կենդանական արյուն՝ պատրաստված բուժական, կանխարգելիչ և ախտորոշման նպատակներով օգտագործելու համար, վարակամերժ (իմունային) շիճուկներ (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հակաշիճուկներ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արյան այլ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թորամասեր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փոփոխված կամ չփոփոխված վարակամերժ 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(իմունոլոգիական) նյութեր, այդ թվում՝ ստացված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բիոտեխնոլոգիական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ճանապարհով,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պատվաստանյութեր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թույներ, աճեցրած մանրէներ (բացի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խմորասունկերից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 և համանման նյութեր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Պատրաստում ցանկացած դիրքի նյութերից` այդ թվում 3002 դիրքի այլ նյութերից: Սակայն 3002 դիրքի նյութերը կարող են օգտագործվել, միայն այն պայմանով, երբ դրանց արժեքը չի գերազանցում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17. ԱՏԳ ԱԱ «3003»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20"/>
        <w:gridCol w:w="3767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3003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Դեղագործական միջոցներ (բացի 3002, 3005 կամ 3006 ապրանքային դիրքերի արտադրանքից), որոնք բաղկացած են երկու կամ ավելի տարրեր պարունակող խառնուրդից պատրաստված բուժական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կանխարգելային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նպատակներով օգտագործելու համար, բայց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տարայավորված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չեն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բաժնավորիչ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չափաբաժնային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դեղագործական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ձևով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փաթեթավորված մանրածախ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առևտրի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համար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Պատրաստում ցանկացած դիրքի նյութերից: Սակայն 3003 դիրքի նյութերը կարող են օգտագործվել, միայն եթե դրանց արժեքը չի գերազանցում վերջնական արտադրանքի գնի 20 %-ը: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18. ԱՏԳ ԱԱ «3006 60»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945"/>
        <w:gridCol w:w="3420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3006 60 000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Քիմիական հակաբեղմնավորիչ միջոցներ` ստացված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հորմոնների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2937 ապրանքային դիրքի միացություններից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սպերմիցիդների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հիմքով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Պատրաստում ցանկացած դիրքի նյութերից, որի ժամանակ բոլոր օգտագործվող նյութերը չպետք է գերազանցեն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19. ԱՏԳ ԱԱ «3920 20 210-ից»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500"/>
        <w:gridCol w:w="3780"/>
      </w:tblGrid>
      <w:tr w:rsidR="00BA7E06" w:rsidRPr="005F3811" w:rsidTr="005C1931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3920 20 210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Շերտեր կամ ժապավեններ՝</w:t>
            </w:r>
            <w:r w:rsidRPr="007B06B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պրոպիլենի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պոլիմերներից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0,10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–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ոչ ավելի հաստությամբ,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բիակսիալ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ուղղվածության, գլանափաթեթներով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Պատրաստում ցանկացած դիրքի նյութերից: Սակայն նշված դիրքի նյութերը կարող են օգտագործվել, միայն այն պայմանով, երբ դրանց արժեքը չի գերազանցում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20. ԱՏԳ ԱԱ «4012»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410"/>
        <w:gridCol w:w="3780"/>
      </w:tblGrid>
      <w:tr w:rsidR="00BA7E06" w:rsidRPr="005F3811" w:rsidTr="005C1931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4012-ից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Օդաճնշական ռետինե անվադողեր և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դողածածկաններ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՝ վերականգնված կամ օգտագործված, անվադողեր և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դողածածկաններ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զանգվածային կամ օդաճնշական, անվադողերի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պաշտպանամետաղ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շրջանաձև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ժապավեններ, ռետինե, բացառությամբ` 4012 11 000 – 4012 19 000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ենթադիրքերի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ապրանքներից, որոնց համար ընդունելի կանոնները ներկայացված են այնուհետ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Պատրաստում, որի ժամանակ պատրաստի արտադրանքի դիրքը ունեցող օգտագործվող հումքի արժեքը չպետք է գերազանցի վերջնական արտադրանքի գնի 50%-ը: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21. ԱՏԳ ԱԱ «4107, 4112 00 000, 4113»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410"/>
        <w:gridCol w:w="3780"/>
      </w:tblGrid>
      <w:tr w:rsidR="00BA7E06" w:rsidRPr="005F3811" w:rsidTr="005C1931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4107,        4112 00 000, 4113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Կաշի`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դաբաղումից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հետո լրացուցիչ մշակված, կամ կաշվի մակերեսով, ներառյալ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մագաղաթով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ծածկված,  առանց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բրդային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ծածկույթի կամ մազածածկույթի տարբեր կենդանիների մորթիներից,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երկտակված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չերկտակված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բացառությամբ` 4114 ապրանքային դիրքի կաշվից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Կաշվի պատրաստում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դաբաղված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դաբաղումից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հետո լրացուցիչ վերամշակված կենդանիների մորթիներից: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22. ԱՏԳ ԱԱ «4403»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4415"/>
        <w:gridCol w:w="3780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4403</w:t>
            </w:r>
          </w:p>
        </w:tc>
        <w:tc>
          <w:tcPr>
            <w:tcW w:w="4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Անտառանյութեր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` չմշակված,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կեղևահանված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կեղևը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չհանված կամ մատղաշ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կեղևով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կոպիտ եզրային կամ ոչ եզրային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չմշակված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կեղևահան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մասնակի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քերված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անտառանյութերից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23. ԱՏԳ ԱԱ «4407 խմբից»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080"/>
        <w:gridCol w:w="3780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4407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Անտառանյութեր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՝ սղոցով կտրված կամ երկայնակի բաժանված,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ռանդված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հերկված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 մշակված կամ չմշակված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տաշվածքով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հղկումով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բութակներով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միացումներ ունեցող կամ առանց միացումների, 6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մմ-ից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ավելի հաստությամբ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Սղոցում, ռանդում, հղկում, բութակավոր միացում: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24. ԱՏԳ ԱԱ «4408»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21"/>
        <w:gridCol w:w="3766"/>
      </w:tblGrid>
      <w:tr w:rsidR="00BA7E06" w:rsidRPr="007B06BA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4408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Թերթեր` երեսապատման համար (ներառյալ` շերտավոր փայտանյութի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մասնատումից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 ստացվածները)` սոսնձված նրբատախտակի կամ այլ նմանատիպ շերտավոր փայտանյութի համար, և այլ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անտառանյութեր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` սղոցով կտրված կամ երկայնակի բաժանված,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ռանդված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հերկված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,  մշակված կամ չմշակված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տաշվածքով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հղկումով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, սերտաճած կամ ոչ,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բութակային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 միացումներ ունեցող կամ չունեցող, 6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մմ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 ոչ ավելի հաստության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Միացում /սոսնձում/, ռանդում, հղկում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25. ԱՏԳ ԱԱ «4409»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3622"/>
        <w:gridCol w:w="3767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4409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Սղոցի պարագաներ (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ներառած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փայտասալահատակի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համար շերտաձողեր և ծոփոր, 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չհավաքված)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տրամատում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/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պրոֆիլավորում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(թիակներով, ակոսներով,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ագուցավորված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սեղմած եզրերով, կիսակլոր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մատնեքի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տեսքով միացմամբ,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ֆասոնային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կլորացված և այլ համանման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ձևերի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եզրերի,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գլխանիստի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մակերեսներից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ցանկացածի վրա, </w:t>
            </w:r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մշակված կամ չմշակված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տաշվածքով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>հղկումով</w:t>
            </w:r>
            <w:proofErr w:type="spellEnd"/>
            <w:r w:rsidRPr="007B06BA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գլխանիստային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միակցումներ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ունեցող կամ չունեցող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Ֆրեզում,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պրոֆիլավորում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հղկում կամ բութակավոր միակցում, սղոցում: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26. ԱՏԳ ԱԱ «6802»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22"/>
        <w:gridCol w:w="3765"/>
      </w:tblGrid>
      <w:tr w:rsidR="00BA7E06" w:rsidRPr="005F3811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6802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Հուշարձանների և շինարարության համար մշակված քար (բացի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թերթաքարից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և արտադրանք դրանից, բացի 6801 ապրանքային դիրքի ապրանքներից` արհեստականորեն ներկված խորանարդիկներ խճանկարի համար և համանման արտադրանք բնական քարից (ներառյալ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թերթաքարը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հիմքի վրա կամ առանց հիմքի, հատիկներ,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փշուրներ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փոշի բնական քարից (ներառյալ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թերթաքարը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Սղոցում կամ այլ եղանակով բաժանում: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27. ԱՏԳ ԱԱ «6803 00 000-ից»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20"/>
        <w:gridCol w:w="3767"/>
      </w:tblGrid>
      <w:tr w:rsidR="00BA7E06" w:rsidRPr="007B06BA" w:rsidTr="005C1931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6803 00-ից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Արտադրանք բնական կամ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եռակալված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B4262D"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(</w:t>
            </w:r>
            <w:proofErr w:type="spellStart"/>
            <w:r w:rsidR="00B4262D"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ագլոմերացված</w:t>
            </w:r>
            <w:proofErr w:type="spellEnd"/>
            <w:r w:rsidR="00B4262D"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թերթաքարից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 մշակված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թերթաքարից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28. ԱՏԳ ԱԱ «84 խմբից»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945"/>
        <w:gridCol w:w="3420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84 խմբից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Միջուկային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ռեակտորներ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կաթսաներ, սարքավորումներ և մեխանիկական հարմարանքներ, դրանց մասեր, բացի ապրանքներից, 8403, 8404, 8406-8408, 8412, 8414-ից, 8415, 8418, 8425-8431, 844400-8447, 8448-ից 8452, 8456-8466, 8470, 8472, 8480,8484, 8487 դիրքերից, որոնց համար կիրառման պայմանները շարադրվում են հետայսու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Պատրաստում, որի ժամանակ բոլոր օգտագործվող նյութերը պետք է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դասակարգվեն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արտադրանքի դիրքից տարբեր դիրքում: Սակայն նյութերը, որոնք նույն դիրքից են, ինչ որ արտադրանքը, կարող են օգտագործվել, եթե դրանց արժեքը չի գերազանցում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29. ԱՏԳ ԱԱ «8404»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տողը շարադրել </w:t>
      </w:r>
      <w:proofErr w:type="spellStart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խմբագրությամբ.</w:t>
      </w: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06B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945"/>
        <w:gridCol w:w="3420"/>
      </w:tblGrid>
      <w:tr w:rsidR="00BA7E06" w:rsidRPr="005F3811" w:rsidTr="005C1931">
        <w:trPr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8404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5C1931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Օժանդակ սարքավորումներ 8402 կամ 8403 ապրանքային դիրքերի կաթսաների հետ օգտագործման (օրինակ, խնայող սարքեր, ջերմա-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գերտաքացուցիչ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մրահեռացուցիչ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գազային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ռեկուպերատորներ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կոնդենսատորներ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շոգեջրային</w:t>
            </w:r>
            <w:proofErr w:type="spellEnd"/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կամ շոգու ուժային այլ սարքավորումների համար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7E06" w:rsidRPr="007B06BA" w:rsidRDefault="00BA7E06" w:rsidP="00B0634A">
            <w:pPr>
              <w:spacing w:before="100" w:beforeAutospacing="1" w:after="100" w:afterAutospacing="1" w:line="242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Պատրաստում, որի ժամանակ օգտագործվ</w:t>
            </w:r>
            <w:r w:rsidR="00B0634A"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ող</w:t>
            </w:r>
            <w:r w:rsidRPr="007B06B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բոլոր նյութերի արժեքը չպետք է գերազանցի վերջնական արտադրանքի գնի 50 %-ը:</w:t>
            </w:r>
          </w:p>
        </w:tc>
      </w:tr>
    </w:tbl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BA7E06" w:rsidRPr="007B06BA" w:rsidRDefault="00BA7E06" w:rsidP="00BA7E0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A6D82" w:rsidRPr="007B06BA" w:rsidRDefault="00BA7E06" w:rsidP="00BA7E06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30. ԱՏԳ ԱԱ </w:t>
      </w:r>
      <w:r w:rsidR="006A6D82" w:rsidRPr="007B06BA">
        <w:rPr>
          <w:rFonts w:ascii="GHEA Grapalat" w:hAnsi="GHEA Grapalat"/>
          <w:sz w:val="24"/>
          <w:szCs w:val="24"/>
          <w:lang w:val="hy-AM"/>
        </w:rPr>
        <w:t>«</w:t>
      </w:r>
      <w:r w:rsidR="006A6D82" w:rsidRPr="007B06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8456</w:t>
      </w:r>
      <w:r w:rsidR="006A6D82" w:rsidRPr="007B06BA">
        <w:rPr>
          <w:rFonts w:ascii="GHEA Grapalat" w:hAnsi="GHEA Grapalat"/>
          <w:sz w:val="24"/>
          <w:szCs w:val="24"/>
          <w:lang w:val="hy-AM"/>
        </w:rPr>
        <w:t xml:space="preserve">-8466» </w:t>
      </w:r>
      <w:proofErr w:type="spellStart"/>
      <w:r w:rsidR="006A6D82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6A6D82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6A6D82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6A6D82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:rsidR="00640FC9" w:rsidRPr="007B06BA" w:rsidRDefault="00640FC9" w:rsidP="00BA7E06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3477"/>
        <w:gridCol w:w="3904"/>
      </w:tblGrid>
      <w:tr w:rsidR="00AA6C4C" w:rsidRPr="005F3811" w:rsidTr="005C1931">
        <w:tc>
          <w:tcPr>
            <w:tcW w:w="1890" w:type="dxa"/>
          </w:tcPr>
          <w:p w:rsidR="00AA6C4C" w:rsidRPr="007B06BA" w:rsidRDefault="00AA6C4C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8456-8466</w:t>
            </w:r>
          </w:p>
        </w:tc>
        <w:tc>
          <w:tcPr>
            <w:tcW w:w="3510" w:type="dxa"/>
          </w:tcPr>
          <w:p w:rsidR="00AA6C4C" w:rsidRPr="007B06BA" w:rsidRDefault="0085234C" w:rsidP="00640FC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8456-846</w:t>
            </w:r>
            <w:r w:rsidR="00C46EC7" w:rsidRPr="007B06B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ապրանքային դիրքերում ընդգրկված սարքավորումներ. </w:t>
            </w:r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Մասեր 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պարագաներ` նախատեսված բացառապես կամ հիմնականում 8456–8465 ապրանքային դիրքերում դասակարգված սարքավորումների համար՝ ներառյալ գործիքը կամ </w:t>
            </w:r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դետալներն </w:t>
            </w:r>
            <w:proofErr w:type="spellStart"/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>ամրակելու</w:t>
            </w:r>
            <w:proofErr w:type="spellEnd"/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հարմարանքները, </w:t>
            </w:r>
            <w:proofErr w:type="spellStart"/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>ինքնաբացվող</w:t>
            </w:r>
            <w:proofErr w:type="spellEnd"/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պարուրահատ գլխիկները, բաժանարար գլխիկները 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հատուկ հարմարանքներ սարքավորումների համար. հարմարանքներ ամեն տիպի ձեռքի գործիքների համար նախատեսված աշխատանքային գործիքները </w:t>
            </w:r>
            <w:proofErr w:type="spellStart"/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>ամրակելու</w:t>
            </w:r>
            <w:proofErr w:type="spellEnd"/>
            <w:r w:rsidR="00247A07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համար</w:t>
            </w:r>
          </w:p>
        </w:tc>
        <w:tc>
          <w:tcPr>
            <w:tcW w:w="3960" w:type="dxa"/>
          </w:tcPr>
          <w:p w:rsidR="00AA6C4C" w:rsidRPr="007B06BA" w:rsidRDefault="008B1A91" w:rsidP="00EB3E75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Պատրաստում, որի ժամանակ բոլոր օգտագործվող նյութերի արժեքը չպետք է գերազանցի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վերջնական արտադրանքի </w:t>
            </w:r>
            <w:r w:rsidR="00EB3E75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50 %-ը:</w:t>
            </w:r>
          </w:p>
        </w:tc>
      </w:tr>
    </w:tbl>
    <w:p w:rsidR="006A6D82" w:rsidRPr="007B06BA" w:rsidRDefault="006A6D82" w:rsidP="006A708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54805" w:rsidRPr="007B06BA" w:rsidRDefault="00BA7E06" w:rsidP="00BA7E06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C54805" w:rsidRPr="007B06BA">
        <w:rPr>
          <w:rFonts w:ascii="GHEA Grapalat" w:hAnsi="GHEA Grapalat"/>
          <w:sz w:val="24"/>
          <w:szCs w:val="24"/>
          <w:lang w:val="hy-AM"/>
        </w:rPr>
        <w:t xml:space="preserve">«8469 00-8470» </w:t>
      </w:r>
      <w:proofErr w:type="spellStart"/>
      <w:r w:rsidR="00C54805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C54805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C54805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C54805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3479"/>
        <w:gridCol w:w="3904"/>
      </w:tblGrid>
      <w:tr w:rsidR="00C54805" w:rsidRPr="005F3811" w:rsidTr="005C1931">
        <w:tc>
          <w:tcPr>
            <w:tcW w:w="1890" w:type="dxa"/>
          </w:tcPr>
          <w:p w:rsidR="00C54805" w:rsidRPr="007B06BA" w:rsidRDefault="00C54805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8470</w:t>
            </w:r>
          </w:p>
        </w:tc>
        <w:tc>
          <w:tcPr>
            <w:tcW w:w="3510" w:type="dxa"/>
          </w:tcPr>
          <w:p w:rsidR="00C54805" w:rsidRPr="007B06BA" w:rsidRDefault="001F7AE8" w:rsidP="00640FC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Հաշվարկիչներ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գրանցման, վերարտադրության ու տվյալների տեսողական ներկայացման համար գրպանի մեքենաներ`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հաշվարկչի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գործառույթներով. հաշվապահական մեքենաներ, փոստային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դրոշմանշիչ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մեքենաներ,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տոմսային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ապարատներ 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նույնանման մեքենաներ՝ հաշվիչ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սարքվածքներով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. դրամարկղային ապարատներ</w:t>
            </w:r>
          </w:p>
        </w:tc>
        <w:tc>
          <w:tcPr>
            <w:tcW w:w="3960" w:type="dxa"/>
          </w:tcPr>
          <w:p w:rsidR="00C54805" w:rsidRPr="007B06BA" w:rsidRDefault="001F7AE8" w:rsidP="00EB3E75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Պատրաստում, որի ժամանակ բոլոր օգտագործվող նյութերի արժեքը չպետք է գերազանցի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վերջնական արտադրանքի </w:t>
            </w:r>
            <w:r w:rsidR="00EB3E75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50 %-ը:</w:t>
            </w:r>
          </w:p>
        </w:tc>
      </w:tr>
    </w:tbl>
    <w:p w:rsidR="00C54805" w:rsidRPr="007B06BA" w:rsidRDefault="00C54805" w:rsidP="006A708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A708A" w:rsidRPr="007B06BA" w:rsidRDefault="00BA7E06" w:rsidP="00BA7E06">
      <w:pPr>
        <w:pStyle w:val="ListParagraph"/>
        <w:numPr>
          <w:ilvl w:val="0"/>
          <w:numId w:val="13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6A708A" w:rsidRPr="007B06BA">
        <w:rPr>
          <w:rFonts w:ascii="GHEA Grapalat" w:hAnsi="GHEA Grapalat"/>
          <w:sz w:val="24"/>
          <w:szCs w:val="24"/>
          <w:lang w:val="hy-AM"/>
        </w:rPr>
        <w:t xml:space="preserve">«8472» </w:t>
      </w:r>
      <w:proofErr w:type="spellStart"/>
      <w:r w:rsidR="006A708A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6A708A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6A708A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6A708A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:rsidR="00640FC9" w:rsidRPr="007B06BA" w:rsidRDefault="00640FC9" w:rsidP="00640FC9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3479"/>
        <w:gridCol w:w="3904"/>
      </w:tblGrid>
      <w:tr w:rsidR="006A708A" w:rsidRPr="005F3811" w:rsidTr="005C1931">
        <w:tc>
          <w:tcPr>
            <w:tcW w:w="1890" w:type="dxa"/>
          </w:tcPr>
          <w:p w:rsidR="006A708A" w:rsidRPr="007B06BA" w:rsidRDefault="006A708A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8472</w:t>
            </w:r>
          </w:p>
        </w:tc>
        <w:tc>
          <w:tcPr>
            <w:tcW w:w="3510" w:type="dxa"/>
          </w:tcPr>
          <w:p w:rsidR="006A708A" w:rsidRPr="007B06BA" w:rsidRDefault="00B94715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գրասենյակային սարքավորումներ (օրինակ`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հեկտոգրաֆիական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բազմացնող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տրաֆարետային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ապարատներ, հասցեների մեքենաներ, ավտոմատ սարքվածքներ՝ թղթադրամներ տրամադրելու համար, մեքենաներ՝ մետաղադրամները տեսակավորելու, հաշվելու կամ փաթեթավորելու համար, մատիտներ սրելու մեքենաներ,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սորատային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մեքենաներ կամ մեքենաներ՝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երկաթակապերով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ամրակելու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համար)</w:t>
            </w:r>
          </w:p>
        </w:tc>
        <w:tc>
          <w:tcPr>
            <w:tcW w:w="3960" w:type="dxa"/>
          </w:tcPr>
          <w:p w:rsidR="006A708A" w:rsidRPr="007B06BA" w:rsidRDefault="00B94715" w:rsidP="00EB3E75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Պատրաստում, որի ժամանակ բոլոր օգտագործվող նյութերի արժեքը չպետք է գերազանցի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վերջնական արտադրանքի </w:t>
            </w:r>
            <w:r w:rsidR="00EB3E75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50 %-ը:</w:t>
            </w:r>
          </w:p>
        </w:tc>
      </w:tr>
    </w:tbl>
    <w:p w:rsidR="005677DF" w:rsidRPr="007B06BA" w:rsidRDefault="005677DF" w:rsidP="001B013F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5677DF" w:rsidRPr="007B06BA" w:rsidRDefault="00E71D64" w:rsidP="005677DF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5677DF" w:rsidRPr="007B06BA">
        <w:rPr>
          <w:rFonts w:ascii="GHEA Grapalat" w:hAnsi="GHEA Grapalat"/>
          <w:sz w:val="24"/>
          <w:szCs w:val="24"/>
          <w:lang w:val="hy-AM"/>
        </w:rPr>
        <w:t xml:space="preserve">«8523-ից» </w:t>
      </w:r>
      <w:proofErr w:type="spellStart"/>
      <w:r w:rsidR="005677DF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5677DF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5677DF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5677DF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:rsidR="005677DF" w:rsidRPr="007B06BA" w:rsidRDefault="005677DF" w:rsidP="001B013F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7"/>
        <w:gridCol w:w="3490"/>
        <w:gridCol w:w="3895"/>
      </w:tblGrid>
      <w:tr w:rsidR="005677DF" w:rsidRPr="005F3811" w:rsidTr="005C1931">
        <w:tc>
          <w:tcPr>
            <w:tcW w:w="1890" w:type="dxa"/>
          </w:tcPr>
          <w:p w:rsidR="005677DF" w:rsidRPr="007B06BA" w:rsidRDefault="005677DF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8523-ից</w:t>
            </w:r>
          </w:p>
        </w:tc>
        <w:tc>
          <w:tcPr>
            <w:tcW w:w="3510" w:type="dxa"/>
          </w:tcPr>
          <w:p w:rsidR="005677DF" w:rsidRPr="007B06BA" w:rsidRDefault="006A708A" w:rsidP="00640FC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Սկավառակներ, ժապավեններ,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էներգաանկախ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պնդմարմին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սարքվածքներ՝ տվյալները պահելու համար, «ինտելեկտուալ քարտեր» 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կրիչներ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ձայնի կամ այլ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ույթների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գրանցման համար,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չգրանցած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բացի 37-րդ խմբի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արտադրատեսակներից</w:t>
            </w:r>
            <w:proofErr w:type="spellEnd"/>
          </w:p>
        </w:tc>
        <w:tc>
          <w:tcPr>
            <w:tcW w:w="3960" w:type="dxa"/>
          </w:tcPr>
          <w:p w:rsidR="005677DF" w:rsidRPr="007B06BA" w:rsidRDefault="006A708A" w:rsidP="00E71D64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Պատրաստում, որի ժամանակ բոլոր օգտագործվող նյութերի արժեքը չպետք է գերազանցի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վերջնական արտադրանքի </w:t>
            </w:r>
            <w:r w:rsidR="00E71D64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50 %-ը:</w:t>
            </w:r>
          </w:p>
        </w:tc>
      </w:tr>
    </w:tbl>
    <w:p w:rsidR="005677DF" w:rsidRPr="007B06BA" w:rsidRDefault="005677DF" w:rsidP="001B013F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1B013F" w:rsidRPr="007B06BA" w:rsidRDefault="00E71D64" w:rsidP="001B013F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1B013F" w:rsidRPr="007B06BA">
        <w:rPr>
          <w:rFonts w:ascii="GHEA Grapalat" w:hAnsi="GHEA Grapalat"/>
          <w:sz w:val="24"/>
          <w:szCs w:val="24"/>
          <w:lang w:val="hy-AM"/>
        </w:rPr>
        <w:t>«8528</w:t>
      </w:r>
      <w:r w:rsidR="005677DF" w:rsidRPr="007B06BA">
        <w:rPr>
          <w:rFonts w:ascii="GHEA Grapalat" w:hAnsi="GHEA Grapalat"/>
          <w:sz w:val="24"/>
          <w:szCs w:val="24"/>
          <w:lang w:val="hy-AM"/>
        </w:rPr>
        <w:t>-ից»</w:t>
      </w:r>
      <w:r w:rsidR="001B013F" w:rsidRPr="007B06B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B013F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1B013F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1B013F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1B013F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:rsidR="00CF1946" w:rsidRPr="007B06BA" w:rsidRDefault="00CF1946" w:rsidP="00CF1946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4"/>
        <w:gridCol w:w="3463"/>
        <w:gridCol w:w="3915"/>
      </w:tblGrid>
      <w:tr w:rsidR="001B013F" w:rsidRPr="005F3811" w:rsidTr="005C1931">
        <w:tc>
          <w:tcPr>
            <w:tcW w:w="1890" w:type="dxa"/>
          </w:tcPr>
          <w:p w:rsidR="001B013F" w:rsidRPr="007B06BA" w:rsidRDefault="005677DF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852</w:t>
            </w:r>
            <w:r w:rsidR="001B013F" w:rsidRPr="007B06BA">
              <w:rPr>
                <w:rFonts w:ascii="GHEA Grapalat" w:hAnsi="GHEA Grapalat"/>
                <w:sz w:val="24"/>
                <w:szCs w:val="24"/>
                <w:lang w:val="hy-AM"/>
              </w:rPr>
              <w:t>8-ից</w:t>
            </w:r>
          </w:p>
        </w:tc>
        <w:tc>
          <w:tcPr>
            <w:tcW w:w="3510" w:type="dxa"/>
          </w:tcPr>
          <w:p w:rsidR="001B013F" w:rsidRPr="007B06BA" w:rsidRDefault="005677DF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Հեղուկ բյուրեղյա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մոնիտորներ</w:t>
            </w:r>
            <w:proofErr w:type="spellEnd"/>
          </w:p>
        </w:tc>
        <w:tc>
          <w:tcPr>
            <w:tcW w:w="3960" w:type="dxa"/>
          </w:tcPr>
          <w:p w:rsidR="001B013F" w:rsidRPr="007B06BA" w:rsidRDefault="005677DF" w:rsidP="0013578A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 xml:space="preserve">Պատրաստում ցանկացած դիրքի նյութերից </w:t>
            </w:r>
            <w:proofErr w:type="spellStart"/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>հետևյալ</w:t>
            </w:r>
            <w:proofErr w:type="spellEnd"/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 xml:space="preserve"> տեխնոլոգիական գործողություններ կատարելու պայմանով՝ </w:t>
            </w:r>
            <w:r w:rsidR="00E71D64"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>կորպուսի պատրաստում</w:t>
            </w:r>
            <w:r w:rsidR="0013578A"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>,</w:t>
            </w:r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>բլոկերի</w:t>
            </w:r>
            <w:proofErr w:type="spellEnd"/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 xml:space="preserve"> հավաքում և մոնտաժ</w:t>
            </w:r>
            <w:r w:rsidR="0013578A"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>,</w:t>
            </w:r>
            <w:r w:rsidRPr="007B06BA">
              <w:rPr>
                <w:rFonts w:ascii="GHEA Grapalat" w:eastAsia="Times New Roman" w:hAnsi="GHEA Grapalat" w:cs="Arial Armenian"/>
                <w:sz w:val="24"/>
                <w:szCs w:val="24"/>
                <w:lang w:val="hy-AM" w:eastAsia="ru-RU"/>
              </w:rPr>
              <w:t xml:space="preserve"> պարամետրերի կանոնակարգում և հսկողություն</w:t>
            </w:r>
          </w:p>
        </w:tc>
      </w:tr>
    </w:tbl>
    <w:p w:rsidR="001B013F" w:rsidRPr="007B06BA" w:rsidRDefault="001B013F" w:rsidP="00CF1946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9520BB" w:rsidRPr="007B06BA" w:rsidRDefault="00E71D64" w:rsidP="009520BB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9520BB" w:rsidRPr="007B06BA">
        <w:rPr>
          <w:rFonts w:ascii="GHEA Grapalat" w:hAnsi="GHEA Grapalat"/>
          <w:sz w:val="24"/>
          <w:szCs w:val="24"/>
          <w:lang w:val="hy-AM"/>
        </w:rPr>
        <w:t xml:space="preserve">«8537» </w:t>
      </w:r>
      <w:proofErr w:type="spellStart"/>
      <w:r w:rsidR="009520BB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9520BB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9520BB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520BB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3475"/>
        <w:gridCol w:w="3906"/>
      </w:tblGrid>
      <w:tr w:rsidR="009520BB" w:rsidRPr="005F3811" w:rsidTr="005C1931">
        <w:tc>
          <w:tcPr>
            <w:tcW w:w="1890" w:type="dxa"/>
          </w:tcPr>
          <w:p w:rsidR="009520BB" w:rsidRPr="007B06BA" w:rsidRDefault="009520BB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8537</w:t>
            </w:r>
          </w:p>
        </w:tc>
        <w:tc>
          <w:tcPr>
            <w:tcW w:w="3510" w:type="dxa"/>
          </w:tcPr>
          <w:p w:rsidR="009520BB" w:rsidRPr="007B06BA" w:rsidRDefault="009520BB" w:rsidP="00640FC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Պուլտեր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պանելներ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բարձակներ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սեղաններ, բաշխիչ վահաններ </w:t>
            </w:r>
            <w:r w:rsidR="00640FC9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հիմքեր էլեկտրական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ապարատուրայի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համար` սարքավորված 8535 կամ 8536 ապրանքային դիրքերում ընդգրկված երկու կամ ավելի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սարքվածքներով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, էլեկտրական հոսանքի ղեկավարման կամ բաշխման համար, այդ թվում` իրենց մեջ 90–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խմբի սարքերը կամ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սարքվածքները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330E4" w:rsidRPr="007B06B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թվային ղեկավարման ապարատներն ընդգրկող, բացի 8517 ապրանքային դիրքի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կոմուտացիոն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սարքվածքներից</w:t>
            </w:r>
            <w:proofErr w:type="spellEnd"/>
          </w:p>
        </w:tc>
        <w:tc>
          <w:tcPr>
            <w:tcW w:w="3960" w:type="dxa"/>
          </w:tcPr>
          <w:p w:rsidR="009520BB" w:rsidRPr="007B06BA" w:rsidRDefault="009520BB" w:rsidP="009520BB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Պատրաստում, որի ժամանակ բոլոր օգտագործվող նյութերի արժեքը չպետք է գերազանցի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վերջնական արտադրանքի արժեքի 50 %-ը: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9520BB" w:rsidRPr="007B06BA" w:rsidRDefault="009520BB" w:rsidP="00A330E4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Վերոնշյալ</w:t>
            </w:r>
            <w:r w:rsidR="00A330E4" w:rsidRPr="007B06BA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սահմաններում 8538 դիրքում </w:t>
            </w:r>
            <w:r w:rsidR="00A330E4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ընդգրկված 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նյութերը կարող են օգտագործվել միայն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վերջնական արտադրանքի արժեքի 5 %-ի սահմաններում </w:t>
            </w:r>
            <w:r w:rsidR="00AE0580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նշված գումարի չափով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</w:tc>
      </w:tr>
    </w:tbl>
    <w:p w:rsidR="004708CB" w:rsidRPr="007B06BA" w:rsidRDefault="004708CB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E0580" w:rsidRPr="007B06BA" w:rsidRDefault="00A330E4" w:rsidP="00AE0580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AE0580" w:rsidRPr="007B06BA">
        <w:rPr>
          <w:rFonts w:ascii="GHEA Grapalat" w:hAnsi="GHEA Grapalat"/>
          <w:sz w:val="24"/>
          <w:szCs w:val="24"/>
          <w:lang w:val="hy-AM"/>
        </w:rPr>
        <w:t xml:space="preserve">«8608 00 000» </w:t>
      </w:r>
      <w:proofErr w:type="spellStart"/>
      <w:r w:rsidR="00AE0580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AE0580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AE0580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AE0580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5"/>
        <w:gridCol w:w="3493"/>
        <w:gridCol w:w="3894"/>
      </w:tblGrid>
      <w:tr w:rsidR="00AE0580" w:rsidRPr="005F3811" w:rsidTr="005C1931">
        <w:tc>
          <w:tcPr>
            <w:tcW w:w="1890" w:type="dxa"/>
          </w:tcPr>
          <w:p w:rsidR="00AE0580" w:rsidRPr="007B06BA" w:rsidRDefault="00AE0580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8608 00 000</w:t>
            </w:r>
          </w:p>
        </w:tc>
        <w:tc>
          <w:tcPr>
            <w:tcW w:w="3510" w:type="dxa"/>
          </w:tcPr>
          <w:p w:rsidR="00AE0580" w:rsidRPr="007B06BA" w:rsidRDefault="00AD0A82" w:rsidP="00640FC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Ուղեգծային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սարքավորումներ </w:t>
            </w:r>
            <w:r w:rsidR="00640FC9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սարքվածքներ՝ երկաթուղային կամ տրամվայի գծերի համար. մեխանիկական (ներառյալ էլեկտրամեխանիկական) ազդանշանային սարքավորումներ,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երկաթգծերում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տրամվայի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գծերում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ավտոճանապարհներին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ներքին ջրային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ուղիներում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կայանման կառույցներում,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նավահանգիստներում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կամ օդանավակայաններում անվտանգությունն ապահովելու կամ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երթեւեկությունը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ղեկավարելու համար սարքվածքներ. նշված սարքվածքների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եւ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սարքավորումների մասերը</w:t>
            </w:r>
          </w:p>
        </w:tc>
        <w:tc>
          <w:tcPr>
            <w:tcW w:w="3960" w:type="dxa"/>
          </w:tcPr>
          <w:p w:rsidR="00AE0580" w:rsidRPr="007B06BA" w:rsidRDefault="00AE0580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Պատրաստում, որի ժամանակ բոլոր օգտագործվող նյութերի արժեքը չպետք է գերազանցի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վերջնական արտադրանքի </w:t>
            </w:r>
            <w:r w:rsidR="003E752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50 %-ը: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E0580" w:rsidRPr="007B06BA" w:rsidRDefault="00AE0580" w:rsidP="00AD0A82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Վերոնշյալ</w:t>
            </w:r>
            <w:r w:rsidR="003E7521" w:rsidRPr="007B06BA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սահմաններում </w:t>
            </w:r>
            <w:r w:rsidR="00AD0A82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տվյալ արտադրանքի դիրքում </w:t>
            </w:r>
            <w:proofErr w:type="spellStart"/>
            <w:r w:rsidR="00AD0A82" w:rsidRPr="007B06BA">
              <w:rPr>
                <w:rFonts w:ascii="GHEA Grapalat" w:hAnsi="GHEA Grapalat"/>
                <w:sz w:val="24"/>
                <w:szCs w:val="24"/>
                <w:lang w:val="hy-AM"/>
              </w:rPr>
              <w:t>դասակարգվող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նյութերը կարող են օգտագործվել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վերջնական արտադրանքի արժեքի 5 %-ի սահմաններում նշված գումարի չափով:</w:t>
            </w:r>
          </w:p>
        </w:tc>
      </w:tr>
    </w:tbl>
    <w:p w:rsidR="006C1327" w:rsidRPr="007B06BA" w:rsidRDefault="006C1327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D0A82" w:rsidRPr="007B06BA" w:rsidRDefault="003E7521" w:rsidP="00AD0A82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AD0A82" w:rsidRPr="007B06BA">
        <w:rPr>
          <w:rFonts w:ascii="GHEA Grapalat" w:hAnsi="GHEA Grapalat"/>
          <w:sz w:val="24"/>
          <w:szCs w:val="24"/>
          <w:lang w:val="hy-AM"/>
        </w:rPr>
        <w:t xml:space="preserve">«89 խումբ» </w:t>
      </w:r>
      <w:proofErr w:type="spellStart"/>
      <w:r w:rsidR="00AD0A82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AD0A82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AD0A82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AD0A82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4"/>
        <w:gridCol w:w="3471"/>
        <w:gridCol w:w="3907"/>
      </w:tblGrid>
      <w:tr w:rsidR="00AD0A82" w:rsidRPr="005F3811" w:rsidTr="005C1931">
        <w:tc>
          <w:tcPr>
            <w:tcW w:w="1890" w:type="dxa"/>
          </w:tcPr>
          <w:p w:rsidR="00AD0A82" w:rsidRPr="007B06BA" w:rsidRDefault="00AD0A82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89 խումբ</w:t>
            </w:r>
          </w:p>
        </w:tc>
        <w:tc>
          <w:tcPr>
            <w:tcW w:w="3510" w:type="dxa"/>
          </w:tcPr>
          <w:p w:rsidR="00C03BD9" w:rsidRPr="007B06BA" w:rsidRDefault="00C03BD9" w:rsidP="00C03BD9">
            <w:pPr>
              <w:spacing w:after="16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Նավեր, նավակներ և լողացող կառուցվածքներ</w:t>
            </w:r>
          </w:p>
          <w:p w:rsidR="00AD0A82" w:rsidRPr="007B06BA" w:rsidRDefault="00AD0A82" w:rsidP="00C03BD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0" w:type="dxa"/>
          </w:tcPr>
          <w:p w:rsidR="00AD0A82" w:rsidRPr="007B06BA" w:rsidRDefault="00AD0A82" w:rsidP="003E752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Պատրաստում</w:t>
            </w:r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որի ժամանակ բոլոր օգտագործվող նյութերը պետք է </w:t>
            </w:r>
            <w:proofErr w:type="spellStart"/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>դասակարգվեն</w:t>
            </w:r>
            <w:proofErr w:type="spellEnd"/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դիրքում, որը տարբերվում է 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արտադրա</w:t>
            </w:r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նքի </w:t>
            </w:r>
            <w:proofErr w:type="spellStart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դիքից</w:t>
            </w:r>
            <w:proofErr w:type="spellEnd"/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: Սակայն 8906 դիրքում </w:t>
            </w:r>
            <w:r w:rsidR="003E7521" w:rsidRPr="007B06BA">
              <w:rPr>
                <w:rFonts w:ascii="GHEA Grapalat" w:hAnsi="GHEA Grapalat"/>
                <w:sz w:val="24"/>
                <w:szCs w:val="24"/>
                <w:lang w:val="hy-AM"/>
              </w:rPr>
              <w:t>ընդգրկված</w:t>
            </w:r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նավերի </w:t>
            </w:r>
            <w:proofErr w:type="spellStart"/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>կորպուսներ</w:t>
            </w:r>
            <w:r w:rsidR="009B131D" w:rsidRPr="007B06BA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proofErr w:type="spellEnd"/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չեն կարող օգտագործվե</w:t>
            </w:r>
            <w:r w:rsidR="001B013F" w:rsidRPr="007B06BA"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="00C03BD9" w:rsidRPr="007B06B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AD0A82" w:rsidRPr="007B06BA" w:rsidRDefault="00AD0A82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B131D" w:rsidRPr="007B06BA" w:rsidRDefault="003E7521" w:rsidP="009B131D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9B131D" w:rsidRPr="007B06BA">
        <w:rPr>
          <w:rFonts w:ascii="GHEA Grapalat" w:hAnsi="GHEA Grapalat"/>
          <w:sz w:val="24"/>
          <w:szCs w:val="24"/>
          <w:lang w:val="hy-AM"/>
        </w:rPr>
        <w:t xml:space="preserve">«9406 00» </w:t>
      </w:r>
      <w:proofErr w:type="spellStart"/>
      <w:r w:rsidR="009B131D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9B131D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9B131D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B131D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0"/>
        <w:gridCol w:w="3477"/>
        <w:gridCol w:w="3905"/>
      </w:tblGrid>
      <w:tr w:rsidR="009B131D" w:rsidRPr="005F3811" w:rsidTr="005C1931">
        <w:tc>
          <w:tcPr>
            <w:tcW w:w="1890" w:type="dxa"/>
          </w:tcPr>
          <w:p w:rsidR="009B131D" w:rsidRPr="007B06BA" w:rsidRDefault="009B131D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9406</w:t>
            </w:r>
            <w:r w:rsidR="003E7521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10" w:type="dxa"/>
          </w:tcPr>
          <w:p w:rsidR="009B131D" w:rsidRPr="007B06BA" w:rsidRDefault="001B013F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Շինարարական հավաքովի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կոնստրուկցիաներ</w:t>
            </w:r>
            <w:proofErr w:type="spellEnd"/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960" w:type="dxa"/>
          </w:tcPr>
          <w:p w:rsidR="009B131D" w:rsidRPr="007B06BA" w:rsidRDefault="009B131D" w:rsidP="003E752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Պատրաստում, որի ժամանակ բոլոր օգտագործվող նյութեր</w:t>
            </w:r>
            <w:r w:rsidR="001B013F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արժեքը չպետք է գերազանցի </w:t>
            </w:r>
            <w:r w:rsidR="001B013F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վերջնական արտադրանքի </w:t>
            </w:r>
            <w:r w:rsidR="003E752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="001B013F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50 %-ը:</w:t>
            </w:r>
          </w:p>
        </w:tc>
      </w:tr>
    </w:tbl>
    <w:p w:rsidR="00AD0A82" w:rsidRPr="007B06BA" w:rsidRDefault="00AD0A82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D5D02" w:rsidRPr="007B06BA" w:rsidRDefault="003E7521" w:rsidP="008D5D02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ԱՏԳ ԱԱ </w:t>
      </w:r>
      <w:r w:rsidR="008D5D02" w:rsidRPr="007B06BA">
        <w:rPr>
          <w:rFonts w:ascii="GHEA Grapalat" w:hAnsi="GHEA Grapalat"/>
          <w:sz w:val="24"/>
          <w:szCs w:val="24"/>
          <w:lang w:val="hy-AM"/>
        </w:rPr>
        <w:t xml:space="preserve">«9608» </w:t>
      </w:r>
      <w:proofErr w:type="spellStart"/>
      <w:r w:rsidR="008D5D02" w:rsidRPr="007B06BA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8D5D02" w:rsidRPr="007B06BA">
        <w:rPr>
          <w:rFonts w:ascii="GHEA Grapalat" w:hAnsi="GHEA Grapalat"/>
          <w:sz w:val="24"/>
          <w:szCs w:val="24"/>
          <w:lang w:val="hy-AM"/>
        </w:rPr>
        <w:t xml:space="preserve"> տողը շարադրել </w:t>
      </w:r>
      <w:proofErr w:type="spellStart"/>
      <w:r w:rsidR="008D5D02" w:rsidRPr="007B06BA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8D5D02" w:rsidRPr="007B06BA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1"/>
        <w:gridCol w:w="3488"/>
        <w:gridCol w:w="3903"/>
      </w:tblGrid>
      <w:tr w:rsidR="008D5D02" w:rsidRPr="005F3811" w:rsidTr="005C1931">
        <w:tc>
          <w:tcPr>
            <w:tcW w:w="1890" w:type="dxa"/>
          </w:tcPr>
          <w:p w:rsidR="008D5D02" w:rsidRPr="007B06BA" w:rsidRDefault="008D5D02" w:rsidP="005C193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>9608</w:t>
            </w:r>
          </w:p>
        </w:tc>
        <w:tc>
          <w:tcPr>
            <w:tcW w:w="3510" w:type="dxa"/>
          </w:tcPr>
          <w:p w:rsidR="008D5D02" w:rsidRPr="007B06BA" w:rsidRDefault="00770C71" w:rsidP="00640FC9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Գրիչներ գնդիկավոր. գրիչներ </w:t>
            </w:r>
            <w:r w:rsidR="00640FC9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նշիչներ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ֆետրից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կամ այլ ծակոտկեն նյութերից ծայրով. թանաքով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ինքնահոսներ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ստիլոգրաֆներ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640FC9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այլ գրիչներ. պատճենահան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գրչածայրեր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. մատիտներ՝ սահող կամ շարժական 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միջուկով.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գրչածայրերի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կալիչներ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մատիտների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կալիչներ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640FC9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նույնանման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կալիչներ</w:t>
            </w:r>
            <w:proofErr w:type="spellEnd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. վերը թվարկած արտադրատեսակների մասեր (ներառյալ կափարիչները </w:t>
            </w:r>
            <w:r w:rsidR="00640FC9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սեղմակները)՝ բացի 9609 ապրանքային դիրքում նշված </w:t>
            </w:r>
            <w:proofErr w:type="spellStart"/>
            <w:r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արտադրատեսակներից</w:t>
            </w:r>
            <w:proofErr w:type="spellEnd"/>
          </w:p>
        </w:tc>
        <w:tc>
          <w:tcPr>
            <w:tcW w:w="3960" w:type="dxa"/>
          </w:tcPr>
          <w:p w:rsidR="008D5D02" w:rsidRPr="007B06BA" w:rsidRDefault="008D5D02" w:rsidP="003E7521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Պատրաստում </w:t>
            </w:r>
            <w:r w:rsidR="003E7521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նյութերից, որոնք վերաբերում են այն դիրքին, որը տարբերվում է </w:t>
            </w:r>
            <w:proofErr w:type="spellStart"/>
            <w:r w:rsidR="00770C71" w:rsidRPr="007B06BA">
              <w:rPr>
                <w:rFonts w:ascii="GHEA Grapalat" w:hAnsi="GHEA Grapalat"/>
                <w:sz w:val="24"/>
                <w:szCs w:val="24"/>
                <w:lang w:val="hy-AM"/>
              </w:rPr>
              <w:t>արտադրատեսակի</w:t>
            </w:r>
            <w:proofErr w:type="spellEnd"/>
            <w:r w:rsidR="00770C71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770C71" w:rsidRPr="007B06BA">
              <w:rPr>
                <w:rFonts w:ascii="GHEA Grapalat" w:hAnsi="GHEA Grapalat"/>
                <w:sz w:val="24"/>
                <w:szCs w:val="24"/>
                <w:lang w:val="hy-AM"/>
              </w:rPr>
              <w:t>դիքից</w:t>
            </w:r>
            <w:proofErr w:type="spellEnd"/>
            <w:r w:rsidR="00770C71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: Սակայն 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770C7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գրչածայրեր</w:t>
            </w:r>
            <w:r w:rsidR="00770C71" w:rsidRPr="007B06BA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proofErr w:type="spellEnd"/>
            <w:r w:rsidR="00770C71"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proofErr w:type="spellStart"/>
            <w:r w:rsidR="00770C7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գրչածայրերի</w:t>
            </w:r>
            <w:proofErr w:type="spellEnd"/>
            <w:r w:rsidR="00770C7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համար ծայրերը կարող են օգտագործվել, ինչպես նաև այլ նյութեր</w:t>
            </w:r>
            <w:r w:rsidR="003E752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  <w:r w:rsidR="009520BB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տվյալ արտադրանքի դիրքից, որը </w:t>
            </w:r>
            <w:r w:rsidR="009520BB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կարող է օգտագործվել իր հերթին միայն այն պայմանով, որ դրա արժեքը չի գերազանցում վերջնական արտադրանքի </w:t>
            </w:r>
            <w:r w:rsidR="003E7521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գնի</w:t>
            </w:r>
            <w:r w:rsidR="009520BB" w:rsidRPr="007B06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5 %-ը:</w:t>
            </w:r>
            <w:r w:rsidRPr="007B06B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6C1327" w:rsidRPr="007B06BA" w:rsidRDefault="006C1327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C1327" w:rsidRPr="007B06BA" w:rsidRDefault="006C1327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C1327" w:rsidRPr="007B06BA" w:rsidRDefault="006C1327" w:rsidP="006C1327">
      <w:pPr>
        <w:pStyle w:val="ListParagraph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06BA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6C1327" w:rsidRPr="007B06BA" w:rsidRDefault="006C1327" w:rsidP="006C1327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6C1327" w:rsidRPr="007B06BA" w:rsidRDefault="006C1327" w:rsidP="00422CC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Սույն Արձանագրությունը </w:t>
      </w:r>
      <w:r w:rsidR="00F4631D" w:rsidRPr="007B06BA">
        <w:rPr>
          <w:rFonts w:ascii="GHEA Grapalat" w:hAnsi="GHEA Grapalat"/>
          <w:sz w:val="24"/>
          <w:szCs w:val="24"/>
          <w:lang w:val="hy-AM"/>
        </w:rPr>
        <w:t xml:space="preserve">ժամանակավորապես </w:t>
      </w:r>
      <w:r w:rsidRPr="007B06BA">
        <w:rPr>
          <w:rFonts w:ascii="GHEA Grapalat" w:hAnsi="GHEA Grapalat"/>
          <w:sz w:val="24"/>
          <w:szCs w:val="24"/>
          <w:lang w:val="hy-AM"/>
        </w:rPr>
        <w:t xml:space="preserve">կիրառվում է ստորագրման օրվանից 60 օր հետո և </w:t>
      </w:r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ուժի մեջ է մտնում սույն Արձանագրությունն ուժի մեջ մտնելու համար անհրաժեշտ ներպետական ընթացակարգերը Կողմերի պետությունների կողմից կատարվելու մասին երրորդ գրավոր ծանուցումն </w:t>
      </w:r>
      <w:proofErr w:type="spellStart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>ավանդապահի</w:t>
      </w:r>
      <w:proofErr w:type="spellEnd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ստանալու օրվանից  30 օր հետո:</w:t>
      </w:r>
    </w:p>
    <w:p w:rsidR="006C1327" w:rsidRPr="007B06BA" w:rsidRDefault="00422CC7" w:rsidP="00422CC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Ներպետական </w:t>
      </w:r>
      <w:proofErr w:type="spellStart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>ընթացակարգերն</w:t>
      </w:r>
      <w:proofErr w:type="spellEnd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ավելի ուշ կատարած Կողմերի համար սույն Արձանագրությունն ուժի մեջ է մտնում համապատասխան փաստաթղթերն </w:t>
      </w:r>
      <w:proofErr w:type="spellStart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>ավանդապահի</w:t>
      </w:r>
      <w:proofErr w:type="spellEnd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ստանալու օրվանից 30 օր հետո:</w:t>
      </w:r>
    </w:p>
    <w:p w:rsidR="006C1327" w:rsidRPr="007B06BA" w:rsidRDefault="006C1327" w:rsidP="00422CC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Կատարված է Աշխաբադ քաղաքում 2019 թվականի մայիսի 31-ին, մեկ </w:t>
      </w:r>
      <w:proofErr w:type="spellStart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>բնօրինակով</w:t>
      </w:r>
      <w:proofErr w:type="spellEnd"/>
      <w:r w:rsidRPr="007B06BA">
        <w:rPr>
          <w:rFonts w:ascii="GHEA Grapalat" w:eastAsia="Times New Roman" w:hAnsi="GHEA Grapalat" w:cs="Times New Roman"/>
          <w:sz w:val="24"/>
          <w:szCs w:val="24"/>
          <w:lang w:val="hy-AM"/>
        </w:rPr>
        <w:t>, ռուսերենով: Բնօրինակը պահվում է Անկախ Պետությունների Համագործակցության Գործադիր կոմիտեում, որը դրա վավերացված պատճենը կուղարկի սույն Արձանագրությունը ստորագրած յուրաքանչյուր պետությանը:</w:t>
      </w:r>
    </w:p>
    <w:p w:rsidR="006C1327" w:rsidRPr="007B06BA" w:rsidRDefault="006C1327" w:rsidP="006C1327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792"/>
      </w:tblGrid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lastRenderedPageBreak/>
              <w:t>Ադրբեջանի Հանրապետության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Ռուսաստանի Դաշնության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Հանրապետության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Տաջիկստանի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Հանրապետության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Բելառուսի Հանրապետության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Թուրքմենստանի 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Ղազախստանի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Հանրապետության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Ուզբեկստանի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Հանրապետության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proofErr w:type="spellStart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Ղրղզստանի</w:t>
            </w:r>
            <w:proofErr w:type="spellEnd"/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Հանրապետության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B06BA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7B06BA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Ուկրաինայի Կառավարության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6C1327" w:rsidRPr="007B06BA" w:rsidTr="005C1931">
        <w:trPr>
          <w:tblCellSpacing w:w="0" w:type="dxa"/>
        </w:trPr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Մոլդովայի Հանրապետության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7B06B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C1327" w:rsidRPr="007B06BA" w:rsidRDefault="006C1327" w:rsidP="005C1931">
            <w:pPr>
              <w:spacing w:after="0" w:line="360" w:lineRule="auto"/>
              <w:ind w:firstLine="56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B06BA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</w:tbl>
    <w:p w:rsidR="006C1327" w:rsidRPr="007B06BA" w:rsidRDefault="006C1327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F17AC" w:rsidRPr="007B06BA" w:rsidRDefault="008F17AC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F17AC" w:rsidRPr="007B06BA" w:rsidRDefault="008F17AC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F17AC" w:rsidRPr="007B06BA" w:rsidRDefault="008F17AC" w:rsidP="008F17A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B06BA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 հատուկ կարծիքը</w:t>
      </w:r>
      <w:r w:rsidRPr="007B06BA">
        <w:rPr>
          <w:rFonts w:ascii="GHEA Grapalat" w:hAnsi="GHEA Grapalat"/>
          <w:b/>
          <w:sz w:val="24"/>
          <w:szCs w:val="24"/>
          <w:lang w:val="hy-AM"/>
        </w:rPr>
        <w:br/>
        <w:t xml:space="preserve"> «2009 թվականի նոյեմբերի 20-ի Անկախ պետությունների համագործակցությունում ապրանքների ծագման երկրի որոշման կանոնների մասին» Համաձայնագրում փոփոխություններ կատարելու մասին» Արձանագրության 2-րդ հոդվածի մասով</w:t>
      </w:r>
    </w:p>
    <w:p w:rsidR="008F17AC" w:rsidRPr="007B06BA" w:rsidRDefault="008F17AC" w:rsidP="008F17A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F17AC" w:rsidRPr="007B06BA" w:rsidRDefault="008F17AC" w:rsidP="008F17A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F17AC" w:rsidRPr="007B06BA" w:rsidRDefault="008F17AC" w:rsidP="008F17A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B06BA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Հանրապետությունը «2009 թվականի նոյեմբերի 20-ի Անկախ պետությունների համագործակցությունում ապրանքների ծագման երկրի որոշման կանոնների մասին» Համաձայնագրում փոփոխություններ կատարելու մասին» Արձանագրությունը ժամանակավորապես կկիրառի  </w:t>
      </w:r>
      <w:proofErr w:type="spellStart"/>
      <w:r w:rsidRPr="007B06BA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7B06BA">
        <w:rPr>
          <w:rFonts w:ascii="GHEA Grapalat" w:hAnsi="GHEA Grapalat"/>
          <w:sz w:val="24"/>
          <w:szCs w:val="24"/>
          <w:lang w:val="hy-AM"/>
        </w:rPr>
        <w:t xml:space="preserve"> նրա ուժի մեջ մտնելը, սույն Արձանագրության 2-րդ հոդվածի համաձայն, միայն Հայաստանի Հանրապետության կողմից համապատասխան ներպետական ընթացակարգերի կատարման վերաբերյալ ծանուցման ամսաթվից հետո:</w:t>
      </w:r>
    </w:p>
    <w:p w:rsidR="008F17AC" w:rsidRPr="007B06BA" w:rsidRDefault="008F17AC" w:rsidP="006C132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F17AC" w:rsidRPr="007B06BA" w:rsidSect="00B779E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4D01"/>
    <w:multiLevelType w:val="hybridMultilevel"/>
    <w:tmpl w:val="4058D39E"/>
    <w:lvl w:ilvl="0" w:tplc="B566B9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1AE6"/>
    <w:multiLevelType w:val="hybridMultilevel"/>
    <w:tmpl w:val="1A8E438C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4541"/>
    <w:multiLevelType w:val="hybridMultilevel"/>
    <w:tmpl w:val="4058D39E"/>
    <w:lvl w:ilvl="0" w:tplc="B566B9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31B4"/>
    <w:multiLevelType w:val="hybridMultilevel"/>
    <w:tmpl w:val="3684B106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D770C"/>
    <w:multiLevelType w:val="hybridMultilevel"/>
    <w:tmpl w:val="C41ABB34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D16AA"/>
    <w:multiLevelType w:val="hybridMultilevel"/>
    <w:tmpl w:val="EEA00FCC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10DD5"/>
    <w:multiLevelType w:val="hybridMultilevel"/>
    <w:tmpl w:val="C41ABB34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3C1"/>
    <w:multiLevelType w:val="hybridMultilevel"/>
    <w:tmpl w:val="C41ABB34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A4644"/>
    <w:multiLevelType w:val="hybridMultilevel"/>
    <w:tmpl w:val="1FB81A64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1335"/>
    <w:multiLevelType w:val="hybridMultilevel"/>
    <w:tmpl w:val="A44462D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943BD"/>
    <w:multiLevelType w:val="hybridMultilevel"/>
    <w:tmpl w:val="C504B2C6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21379"/>
    <w:multiLevelType w:val="hybridMultilevel"/>
    <w:tmpl w:val="4058D39E"/>
    <w:lvl w:ilvl="0" w:tplc="B566B9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64F2F"/>
    <w:multiLevelType w:val="hybridMultilevel"/>
    <w:tmpl w:val="B75014CE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BE"/>
    <w:rsid w:val="00001A18"/>
    <w:rsid w:val="000642FB"/>
    <w:rsid w:val="000B6258"/>
    <w:rsid w:val="0013578A"/>
    <w:rsid w:val="001B013F"/>
    <w:rsid w:val="001F7AE8"/>
    <w:rsid w:val="00247A07"/>
    <w:rsid w:val="002D6E38"/>
    <w:rsid w:val="003E7521"/>
    <w:rsid w:val="00422CC7"/>
    <w:rsid w:val="004708CB"/>
    <w:rsid w:val="005109DF"/>
    <w:rsid w:val="005677DF"/>
    <w:rsid w:val="005F3811"/>
    <w:rsid w:val="00640FC9"/>
    <w:rsid w:val="006A6D82"/>
    <w:rsid w:val="006A708A"/>
    <w:rsid w:val="006C1327"/>
    <w:rsid w:val="006C2133"/>
    <w:rsid w:val="007274BE"/>
    <w:rsid w:val="00770C71"/>
    <w:rsid w:val="007B06BA"/>
    <w:rsid w:val="007C2395"/>
    <w:rsid w:val="007C61C0"/>
    <w:rsid w:val="0085234C"/>
    <w:rsid w:val="008B1A91"/>
    <w:rsid w:val="008D5D02"/>
    <w:rsid w:val="008F17AC"/>
    <w:rsid w:val="00923604"/>
    <w:rsid w:val="00933673"/>
    <w:rsid w:val="009520BB"/>
    <w:rsid w:val="009766C8"/>
    <w:rsid w:val="0098034C"/>
    <w:rsid w:val="009B131D"/>
    <w:rsid w:val="00A330E4"/>
    <w:rsid w:val="00AA6C4C"/>
    <w:rsid w:val="00AD0A82"/>
    <w:rsid w:val="00AE0580"/>
    <w:rsid w:val="00B0634A"/>
    <w:rsid w:val="00B16031"/>
    <w:rsid w:val="00B3708A"/>
    <w:rsid w:val="00B4262D"/>
    <w:rsid w:val="00B779E7"/>
    <w:rsid w:val="00B8514E"/>
    <w:rsid w:val="00B94715"/>
    <w:rsid w:val="00BA7E06"/>
    <w:rsid w:val="00BC6688"/>
    <w:rsid w:val="00C03BD9"/>
    <w:rsid w:val="00C46EC7"/>
    <w:rsid w:val="00C54805"/>
    <w:rsid w:val="00CF1946"/>
    <w:rsid w:val="00E40F2D"/>
    <w:rsid w:val="00E71D64"/>
    <w:rsid w:val="00EB3E75"/>
    <w:rsid w:val="00F4631D"/>
    <w:rsid w:val="00FE14C2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37863-AEC9-4B80-9199-467FB740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8CB"/>
    <w:pPr>
      <w:ind w:left="720"/>
      <w:contextualSpacing/>
    </w:pPr>
  </w:style>
  <w:style w:type="table" w:styleId="TableGrid">
    <w:name w:val="Table Grid"/>
    <w:basedOn w:val="TableNormal"/>
    <w:uiPriority w:val="59"/>
    <w:rsid w:val="0047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Marine J. Anakhasyan</dc:creator>
  <cp:keywords>https://mul2.gov.am/tasks/74178/oneclick/ARDZANAGRUTYUN-arm.docx?token=583afd869666d16823f9d3fe1cf24624</cp:keywords>
  <cp:lastModifiedBy>Qristine Grigoryan</cp:lastModifiedBy>
  <cp:revision>3</cp:revision>
  <cp:lastPrinted>2019-05-22T06:55:00Z</cp:lastPrinted>
  <dcterms:created xsi:type="dcterms:W3CDTF">2019-05-24T11:42:00Z</dcterms:created>
  <dcterms:modified xsi:type="dcterms:W3CDTF">2019-05-24T11:42:00Z</dcterms:modified>
</cp:coreProperties>
</file>