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E9" w:rsidRPr="007A1A23" w:rsidRDefault="00AB1CE9" w:rsidP="004F1726">
      <w:pPr>
        <w:spacing w:after="160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b/>
          <w:color w:val="000000"/>
          <w:sz w:val="24"/>
          <w:szCs w:val="24"/>
        </w:rPr>
        <w:t>ՀԻՄՆԱՎՈՐՈՒՄ</w:t>
      </w:r>
    </w:p>
    <w:p w:rsidR="00AB1CE9" w:rsidRPr="007A1A23" w:rsidRDefault="00AB1CE9" w:rsidP="004F1726">
      <w:pPr>
        <w:pStyle w:val="NormalWeb"/>
        <w:spacing w:before="0" w:beforeAutospacing="0" w:after="0" w:afterAutospacing="0" w:line="360" w:lineRule="auto"/>
        <w:ind w:firstLine="540"/>
        <w:jc w:val="center"/>
        <w:rPr>
          <w:rStyle w:val="Strong"/>
          <w:rFonts w:ascii="GHEA Grapalat" w:hAnsi="GHEA Grapalat" w:cs="Sylfaen"/>
          <w:b w:val="0"/>
          <w:bCs/>
          <w:color w:val="000000"/>
          <w:shd w:val="clear" w:color="auto" w:fill="FFFFFF"/>
          <w:lang w:val="hy-AM"/>
        </w:rPr>
      </w:pPr>
      <w:r w:rsidRPr="007A1A23">
        <w:rPr>
          <w:rFonts w:ascii="GHEA Grapalat" w:hAnsi="GHEA Grapalat"/>
          <w:color w:val="000000"/>
          <w:lang w:val="hy-AM"/>
        </w:rPr>
        <w:t xml:space="preserve">«Թանգարանային գործի ոլորտում Անկախ </w:t>
      </w:r>
      <w:r w:rsidRPr="007A1A23">
        <w:rPr>
          <w:rFonts w:ascii="GHEA Grapalat" w:hAnsi="GHEA Grapalat"/>
          <w:color w:val="000000"/>
          <w:lang w:val="en-US"/>
        </w:rPr>
        <w:t>Պ</w:t>
      </w:r>
      <w:r w:rsidRPr="007A1A23">
        <w:rPr>
          <w:rFonts w:ascii="GHEA Grapalat" w:hAnsi="GHEA Grapalat"/>
          <w:color w:val="000000"/>
          <w:lang w:val="hy-AM"/>
        </w:rPr>
        <w:t xml:space="preserve">ետությունների </w:t>
      </w:r>
      <w:r w:rsidRPr="007A1A23">
        <w:rPr>
          <w:rFonts w:ascii="GHEA Grapalat" w:hAnsi="GHEA Grapalat"/>
          <w:color w:val="000000"/>
          <w:lang w:val="en-US"/>
        </w:rPr>
        <w:t>Հ</w:t>
      </w:r>
      <w:r w:rsidRPr="007A1A23">
        <w:rPr>
          <w:rFonts w:ascii="GHEA Grapalat" w:hAnsi="GHEA Grapalat"/>
          <w:color w:val="000000"/>
          <w:lang w:val="hy-AM"/>
        </w:rPr>
        <w:t>ամագործակցության մասնակից պետությունների համագործակցության մասին»</w:t>
      </w:r>
      <w:r w:rsidRPr="007A1A23">
        <w:rPr>
          <w:rFonts w:ascii="GHEA Grapalat" w:hAnsi="GHEA Grapalat"/>
          <w:color w:val="000000"/>
          <w:lang w:val="en-US"/>
        </w:rPr>
        <w:t xml:space="preserve"> </w:t>
      </w:r>
      <w:r w:rsidRPr="007A1A23">
        <w:rPr>
          <w:rFonts w:ascii="GHEA Grapalat" w:hAnsi="GHEA Grapalat"/>
          <w:color w:val="000000"/>
        </w:rPr>
        <w:t>համաձայնագրի</w:t>
      </w:r>
      <w:r w:rsidRPr="007A1A23">
        <w:rPr>
          <w:rFonts w:ascii="GHEA Grapalat" w:hAnsi="GHEA Grapalat"/>
          <w:b/>
          <w:color w:val="000000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</w:rPr>
        <w:t>ստորագրման</w:t>
      </w:r>
      <w:r w:rsidRPr="007A1A23">
        <w:rPr>
          <w:rFonts w:ascii="GHEA Grapalat" w:hAnsi="GHEA Grapalat"/>
          <w:color w:val="000000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</w:rPr>
        <w:t>նպատակահարմարության</w:t>
      </w:r>
      <w:r w:rsidRPr="007A1A23">
        <w:rPr>
          <w:rFonts w:ascii="GHEA Grapalat" w:hAnsi="GHEA Grapalat"/>
          <w:b/>
          <w:color w:val="000000"/>
          <w:lang w:val="en-US"/>
        </w:rPr>
        <w:t xml:space="preserve"> </w:t>
      </w:r>
    </w:p>
    <w:p w:rsidR="00AB1CE9" w:rsidRPr="007A1A23" w:rsidRDefault="00AB1CE9" w:rsidP="004F1726">
      <w:pPr>
        <w:spacing w:after="16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i/>
          <w:color w:val="000000"/>
          <w:sz w:val="24"/>
          <w:szCs w:val="24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նախագծի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հիմնական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նպատակը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ԱՊՀ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մասնակից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տարածքում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թանգարանացուցահանդեսային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փոխանակումը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զարգացնելու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համար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բարենպաստ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պայմանների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ստեղծումն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է։</w:t>
      </w:r>
      <w:r w:rsidRPr="00EE7F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E7F3F">
        <w:rPr>
          <w:rFonts w:ascii="GHEA Grapalat" w:hAnsi="GHEA Grapalat"/>
          <w:i/>
          <w:color w:val="000000"/>
          <w:sz w:val="24"/>
          <w:szCs w:val="24"/>
        </w:rPr>
        <w:t xml:space="preserve"> </w:t>
      </w: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Փաստաթղթի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ընդունման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արդիականությունն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անհրաժեշտությունը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պայմանավորված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է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ԱՊՀ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>-</w:t>
      </w:r>
      <w:r w:rsidRPr="007A1A23">
        <w:rPr>
          <w:rFonts w:ascii="GHEA Grapalat" w:hAnsi="GHEA Grapalat"/>
          <w:color w:val="000000"/>
          <w:sz w:val="24"/>
          <w:szCs w:val="24"/>
        </w:rPr>
        <w:t>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շրջանակներում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այնպիսի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նորմատիվ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իրավական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ակտի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բացակայությամբ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որով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համակարգված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ձևով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կսահմանվի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Անկախ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երկրների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գործի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բնագավառում։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Հիշյալ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բնագավառում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հարցերը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մասնակիորեն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արտացոլված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են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«</w:t>
      </w:r>
      <w:r w:rsidRPr="007A1A23">
        <w:rPr>
          <w:rFonts w:ascii="GHEA Grapalat" w:hAnsi="GHEA Grapalat"/>
          <w:color w:val="000000"/>
          <w:sz w:val="24"/>
          <w:szCs w:val="24"/>
        </w:rPr>
        <w:t>Մշակույթի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բնագավառում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» 1992 </w:t>
      </w:r>
      <w:r w:rsidRPr="007A1A23">
        <w:rPr>
          <w:rFonts w:ascii="GHEA Grapalat" w:hAnsi="GHEA Grapalat"/>
          <w:color w:val="000000"/>
          <w:sz w:val="24"/>
          <w:szCs w:val="24"/>
        </w:rPr>
        <w:t>թվականի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մայիսի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15-</w:t>
      </w:r>
      <w:r w:rsidRPr="007A1A23">
        <w:rPr>
          <w:rFonts w:ascii="GHEA Grapalat" w:hAnsi="GHEA Grapalat"/>
          <w:color w:val="000000"/>
          <w:sz w:val="24"/>
          <w:szCs w:val="24"/>
        </w:rPr>
        <w:t>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«</w:t>
      </w:r>
      <w:r w:rsidRPr="007A1A23">
        <w:rPr>
          <w:rFonts w:ascii="GHEA Grapalat" w:hAnsi="GHEA Grapalat"/>
          <w:color w:val="000000"/>
          <w:sz w:val="24"/>
          <w:szCs w:val="24"/>
        </w:rPr>
        <w:t>Անկախ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մասնակից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մարդասիրական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» 2005 </w:t>
      </w:r>
      <w:r w:rsidRPr="007A1A23">
        <w:rPr>
          <w:rFonts w:ascii="GHEA Grapalat" w:hAnsi="GHEA Grapalat"/>
          <w:color w:val="000000"/>
          <w:sz w:val="24"/>
          <w:szCs w:val="24"/>
        </w:rPr>
        <w:t>թվականի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օգոստոսի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26-</w:t>
      </w:r>
      <w:r w:rsidRPr="007A1A23">
        <w:rPr>
          <w:rFonts w:ascii="GHEA Grapalat" w:hAnsi="GHEA Grapalat"/>
          <w:color w:val="000000"/>
          <w:sz w:val="24"/>
          <w:szCs w:val="24"/>
        </w:rPr>
        <w:t>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մեջ։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Այդ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ուղղությամբ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խորացումը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նախատեսված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է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2011 </w:t>
      </w:r>
      <w:r w:rsidRPr="007A1A23">
        <w:rPr>
          <w:rFonts w:ascii="GHEA Grapalat" w:hAnsi="GHEA Grapalat"/>
          <w:color w:val="000000"/>
          <w:sz w:val="24"/>
          <w:szCs w:val="24"/>
        </w:rPr>
        <w:t>թվականի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մայիսի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19-</w:t>
      </w:r>
      <w:r w:rsidRPr="007A1A23">
        <w:rPr>
          <w:rFonts w:ascii="GHEA Grapalat" w:hAnsi="GHEA Grapalat"/>
          <w:color w:val="000000"/>
          <w:sz w:val="24"/>
          <w:szCs w:val="24"/>
        </w:rPr>
        <w:t>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Անկախ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մասնակից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պետությունների՝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մշակույթի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ոլորտում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հայեցակարգով։</w:t>
      </w: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նախագծի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հոդվածների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հիմքում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դրվել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են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գործի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արդիական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ուղղություններով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նորմերը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որոնցով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սահմանվում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են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առարկաների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պահպանվածությունն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ժամանակին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վերադարձը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այդ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թվում՝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դատական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անձեռնմխելիությունը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հայցի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ապահովմանն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ուղղված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միջոցների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անձեռնմխելիությունը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առարկաների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վերաբերյալ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դատարանի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որոշումը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կատարելու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անձեռնմխելիությունը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համատեղ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ցուցահանդեսային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նախագծերի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գիտական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ծրագրերի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իրագործումը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աշխատողների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վերապատրաստման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որակավորման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բարձրացման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ոլորտում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համագործակցությունը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փորձի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փոխանակումը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ցուցահանդեսների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կազմակերպման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ժամանակ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ժամանակակից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տեխնոլոգիաների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ներդրման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ինչպես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նա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առարկաների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պահման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ռեստավրացիայի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պահպանման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բնագավառում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lastRenderedPageBreak/>
        <w:t>առարկաների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էլեկտրոնային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պատճենների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պատրաստումն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ու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փոխանակումը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այլն։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 </w:t>
      </w:r>
    </w:p>
    <w:p w:rsidR="00AB1CE9" w:rsidRPr="007A1A23" w:rsidRDefault="00AB1CE9" w:rsidP="00EE7F3F">
      <w:pPr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7A1A23">
        <w:rPr>
          <w:rFonts w:ascii="GHEA Grapalat" w:hAnsi="GHEA Grapalat" w:cs="Sylfaen"/>
          <w:color w:val="000000"/>
          <w:sz w:val="24"/>
          <w:szCs w:val="24"/>
        </w:rPr>
        <w:t xml:space="preserve">Համաձայնագրի </w:t>
      </w:r>
      <w:r w:rsidRPr="007A1A23">
        <w:rPr>
          <w:rFonts w:ascii="GHEA Grapalat" w:hAnsi="GHEA Grapalat"/>
          <w:color w:val="000000"/>
          <w:sz w:val="24"/>
          <w:szCs w:val="24"/>
        </w:rPr>
        <w:t xml:space="preserve">դրույթները չեն հակասում Հայաստանի Հանրապետության օրենսդրությանը և չեն պարունակում Հայաստանի Հանրապետության օրենքներում  փոփոխություններ կատարելու կամ նոր օրենքներ ընդունելու նորմեր: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7A1A23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Հանրապետությունը չի ստանձնում ֆինանսական պարտա</w:t>
      </w:r>
      <w:r w:rsidRPr="007A1A23">
        <w:rPr>
          <w:rFonts w:ascii="GHEA Grapalat" w:hAnsi="GHEA Grapalat"/>
          <w:color w:val="000000"/>
          <w:sz w:val="24"/>
          <w:szCs w:val="24"/>
        </w:rPr>
        <w:softHyphen/>
        <w:t>վորություններ:</w:t>
      </w:r>
    </w:p>
    <w:p w:rsidR="00AB1CE9" w:rsidRPr="00EE7F3F" w:rsidRDefault="00AB1CE9" w:rsidP="00EE7F3F">
      <w:pPr>
        <w:spacing w:after="160"/>
        <w:ind w:firstLine="54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ընդունումը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կնպաստի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մշակույթի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ոլորտում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ԱՊՀ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մասնակից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ամրապնդմանը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, 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գործի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բնագավառում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լավագույն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ավանդույթների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պահպանմանը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և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ԱՊՀ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երկրների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թանգարանացուցահանդեսային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փոխանակման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/>
          <w:color w:val="000000"/>
          <w:sz w:val="24"/>
          <w:szCs w:val="24"/>
        </w:rPr>
        <w:t>ընդլայնմանը։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AB1CE9" w:rsidRPr="00EE7F3F" w:rsidRDefault="00AB1CE9" w:rsidP="00EE7F3F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7A1A23">
        <w:rPr>
          <w:rFonts w:ascii="GHEA Grapalat" w:hAnsi="GHEA Grapalat" w:cs="Sylfaen"/>
          <w:color w:val="000000"/>
          <w:sz w:val="24"/>
          <w:szCs w:val="24"/>
        </w:rPr>
        <w:t>Ելնելով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վերոգրյալից՝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A1A2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EE7F3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մշակույթի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նախարա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>-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րությունը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նպատակահարմար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է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գտնում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«</w:t>
      </w:r>
      <w:bookmarkStart w:id="0" w:name="_GoBack"/>
      <w:bookmarkEnd w:id="0"/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Թանգարանային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գործի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ոլորտում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Անկախ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մասնակից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պետությունների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համագործակցության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» 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համաձայնագրի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EE7F3F">
        <w:rPr>
          <w:rFonts w:ascii="GHEA Grapalat" w:hAnsi="GHEA Grapalat" w:cs="Sylfaen"/>
          <w:b/>
          <w:color w:val="000000"/>
          <w:sz w:val="24"/>
          <w:szCs w:val="24"/>
        </w:rPr>
        <w:t>ստորագրումը</w:t>
      </w:r>
      <w:r w:rsidRPr="00EE7F3F">
        <w:rPr>
          <w:rFonts w:ascii="GHEA Grapalat" w:hAnsi="GHEA Grapalat"/>
          <w:b/>
          <w:color w:val="000000"/>
          <w:sz w:val="24"/>
          <w:szCs w:val="24"/>
          <w:lang w:val="en-US"/>
        </w:rPr>
        <w:t>:</w:t>
      </w:r>
    </w:p>
    <w:p w:rsidR="00AB1CE9" w:rsidRPr="00EE7F3F" w:rsidRDefault="00AB1CE9">
      <w:pPr>
        <w:rPr>
          <w:lang w:val="en-US"/>
        </w:rPr>
      </w:pPr>
    </w:p>
    <w:sectPr w:rsidR="00AB1CE9" w:rsidRPr="00EE7F3F" w:rsidSect="00EE7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E2" w:rsidRDefault="00C902E2">
      <w:pPr>
        <w:spacing w:after="0" w:line="240" w:lineRule="auto"/>
      </w:pPr>
      <w:r>
        <w:separator/>
      </w:r>
    </w:p>
  </w:endnote>
  <w:endnote w:type="continuationSeparator" w:id="0">
    <w:p w:rsidR="00C902E2" w:rsidRDefault="00C9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Default="00AB1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Pr="00F03829" w:rsidRDefault="00AB1CE9" w:rsidP="00BF7153">
    <w:pPr>
      <w:pStyle w:val="Header"/>
      <w:tabs>
        <w:tab w:val="clear" w:pos="9072"/>
        <w:tab w:val="right" w:pos="9498"/>
      </w:tabs>
      <w:spacing w:line="240" w:lineRule="auto"/>
      <w:ind w:firstLine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Pr="00BD6C11" w:rsidRDefault="00AB1CE9" w:rsidP="00BF7153">
    <w:pPr>
      <w:pStyle w:val="Footer"/>
      <w:tabs>
        <w:tab w:val="clear" w:pos="9072"/>
        <w:tab w:val="right" w:pos="9498"/>
      </w:tabs>
      <w:spacing w:line="240" w:lineRule="auto"/>
      <w:ind w:firstLine="0"/>
      <w:jc w:val="left"/>
      <w:rPr>
        <w:rFonts w:ascii="GHEA Grapalat" w:hAnsi="GHEA Grapala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E2" w:rsidRDefault="00C902E2">
      <w:pPr>
        <w:spacing w:after="0" w:line="240" w:lineRule="auto"/>
      </w:pPr>
      <w:r>
        <w:separator/>
      </w:r>
    </w:p>
  </w:footnote>
  <w:footnote w:type="continuationSeparator" w:id="0">
    <w:p w:rsidR="00C902E2" w:rsidRDefault="00C9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Default="00AB1C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CE9" w:rsidRDefault="00AB1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Default="00AB1CE9" w:rsidP="00BF7153">
    <w:pPr>
      <w:pStyle w:val="Header"/>
      <w:framePr w:wrap="around" w:vAnchor="text" w:hAnchor="margin" w:xAlign="center" w:y="1"/>
      <w:spacing w:line="240" w:lineRule="auto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F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B1CE9" w:rsidRDefault="00AB1C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CE9" w:rsidRDefault="00AB1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726"/>
    <w:rsid w:val="00130996"/>
    <w:rsid w:val="001471E1"/>
    <w:rsid w:val="003F2A11"/>
    <w:rsid w:val="00441D47"/>
    <w:rsid w:val="004F1726"/>
    <w:rsid w:val="00671D84"/>
    <w:rsid w:val="00671E78"/>
    <w:rsid w:val="006D3F9C"/>
    <w:rsid w:val="007A1A23"/>
    <w:rsid w:val="007D306B"/>
    <w:rsid w:val="007E4745"/>
    <w:rsid w:val="00981092"/>
    <w:rsid w:val="00A76B62"/>
    <w:rsid w:val="00A80176"/>
    <w:rsid w:val="00AB1CE9"/>
    <w:rsid w:val="00BD6C11"/>
    <w:rsid w:val="00BF7153"/>
    <w:rsid w:val="00C3441B"/>
    <w:rsid w:val="00C902E2"/>
    <w:rsid w:val="00D363B3"/>
    <w:rsid w:val="00DC555C"/>
    <w:rsid w:val="00E35F04"/>
    <w:rsid w:val="00EA4231"/>
    <w:rsid w:val="00EE7F3F"/>
    <w:rsid w:val="00F0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B3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1726"/>
    <w:pPr>
      <w:tabs>
        <w:tab w:val="center" w:pos="4536"/>
        <w:tab w:val="right" w:pos="9072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val="hy-AM" w:eastAsia="hy-AM"/>
    </w:rPr>
  </w:style>
  <w:style w:type="character" w:customStyle="1" w:styleId="HeaderChar">
    <w:name w:val="Header Char"/>
    <w:link w:val="Header"/>
    <w:uiPriority w:val="99"/>
    <w:locked/>
    <w:rsid w:val="004F1726"/>
    <w:rPr>
      <w:rFonts w:ascii="Times New Roman" w:hAnsi="Times New Roman" w:cs="Times New Roman"/>
      <w:sz w:val="20"/>
      <w:szCs w:val="20"/>
      <w:lang w:val="hy-AM" w:eastAsia="hy-AM"/>
    </w:rPr>
  </w:style>
  <w:style w:type="paragraph" w:styleId="Footer">
    <w:name w:val="footer"/>
    <w:basedOn w:val="Normal"/>
    <w:link w:val="FooterChar"/>
    <w:uiPriority w:val="99"/>
    <w:rsid w:val="004F1726"/>
    <w:pPr>
      <w:tabs>
        <w:tab w:val="center" w:pos="4536"/>
        <w:tab w:val="right" w:pos="9072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val="hy-AM" w:eastAsia="hy-AM"/>
    </w:rPr>
  </w:style>
  <w:style w:type="character" w:customStyle="1" w:styleId="FooterChar">
    <w:name w:val="Footer Char"/>
    <w:link w:val="Footer"/>
    <w:uiPriority w:val="99"/>
    <w:locked/>
    <w:rsid w:val="004F1726"/>
    <w:rPr>
      <w:rFonts w:ascii="Times New Roman" w:hAnsi="Times New Roman" w:cs="Times New Roman"/>
      <w:sz w:val="20"/>
      <w:szCs w:val="20"/>
      <w:lang w:val="hy-AM" w:eastAsia="hy-AM"/>
    </w:rPr>
  </w:style>
  <w:style w:type="character" w:styleId="PageNumber">
    <w:name w:val="page number"/>
    <w:uiPriority w:val="99"/>
    <w:rsid w:val="004F1726"/>
    <w:rPr>
      <w:rFonts w:cs="Times New Roman"/>
    </w:rPr>
  </w:style>
  <w:style w:type="character" w:styleId="Strong">
    <w:name w:val="Strong"/>
    <w:uiPriority w:val="22"/>
    <w:qFormat/>
    <w:rsid w:val="004F1726"/>
    <w:rPr>
      <w:b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4F1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4F172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Klara</dc:creator>
  <cp:keywords>https://mul2.gov.am/tasks/73765/oneclick/3.Himnavorum.docx?token=fb68a83733c2487b7f7de2585f11d91d</cp:keywords>
  <dc:description/>
  <cp:lastModifiedBy>user</cp:lastModifiedBy>
  <cp:revision>2</cp:revision>
  <dcterms:created xsi:type="dcterms:W3CDTF">2019-05-23T06:30:00Z</dcterms:created>
  <dcterms:modified xsi:type="dcterms:W3CDTF">2019-05-23T17:42:00Z</dcterms:modified>
</cp:coreProperties>
</file>