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67" w:rsidRPr="0074024F" w:rsidRDefault="00A86467" w:rsidP="0074024F">
      <w:pPr>
        <w:widowControl w:val="0"/>
        <w:spacing w:after="160"/>
        <w:ind w:firstLine="0"/>
        <w:jc w:val="right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Նախագիծ</w:t>
      </w:r>
    </w:p>
    <w:p w:rsidR="00633909" w:rsidRPr="0020458E" w:rsidRDefault="00A86467" w:rsidP="0074024F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20458E">
        <w:rPr>
          <w:rFonts w:ascii="GHEA Grapalat" w:hAnsi="GHEA Grapalat"/>
          <w:b/>
          <w:sz w:val="24"/>
          <w:szCs w:val="24"/>
        </w:rPr>
        <w:t>ՀԱՄԱՁԱՅՆԱԳԻՐ</w:t>
      </w:r>
    </w:p>
    <w:p w:rsidR="0020458E" w:rsidRPr="0020458E" w:rsidRDefault="0020458E" w:rsidP="0074024F">
      <w:pPr>
        <w:widowControl w:val="0"/>
        <w:spacing w:after="160"/>
        <w:ind w:firstLine="0"/>
        <w:jc w:val="center"/>
        <w:rPr>
          <w:rFonts w:ascii="GHEA Grapalat" w:hAnsi="GHEA Grapalat" w:cs="Sylfaen"/>
          <w:b/>
          <w:sz w:val="24"/>
          <w:szCs w:val="24"/>
        </w:rPr>
      </w:pPr>
      <w:r w:rsidRPr="0020458E">
        <w:rPr>
          <w:rFonts w:ascii="GHEA Grapalat" w:hAnsi="GHEA Grapalat" w:cs="Sylfaen"/>
          <w:b/>
          <w:sz w:val="24"/>
          <w:szCs w:val="24"/>
        </w:rPr>
        <w:t xml:space="preserve">Թանգարանային գործի ոլորտում Անկախ </w:t>
      </w:r>
      <w:r w:rsidRPr="0020458E">
        <w:rPr>
          <w:rFonts w:ascii="GHEA Grapalat" w:hAnsi="GHEA Grapalat" w:cs="Sylfaen"/>
          <w:b/>
          <w:sz w:val="24"/>
          <w:szCs w:val="24"/>
        </w:rPr>
        <w:t>պ</w:t>
      </w:r>
      <w:r w:rsidRPr="0020458E">
        <w:rPr>
          <w:rFonts w:ascii="GHEA Grapalat" w:hAnsi="GHEA Grapalat" w:cs="Sylfaen"/>
          <w:b/>
          <w:sz w:val="24"/>
          <w:szCs w:val="24"/>
        </w:rPr>
        <w:t xml:space="preserve">ետությունների </w:t>
      </w:r>
      <w:r w:rsidRPr="0020458E">
        <w:rPr>
          <w:rFonts w:ascii="GHEA Grapalat" w:hAnsi="GHEA Grapalat" w:cs="Sylfaen"/>
          <w:b/>
          <w:sz w:val="24"/>
          <w:szCs w:val="24"/>
        </w:rPr>
        <w:t>հ</w:t>
      </w:r>
      <w:r w:rsidRPr="0020458E">
        <w:rPr>
          <w:rFonts w:ascii="GHEA Grapalat" w:hAnsi="GHEA Grapalat" w:cs="Sylfaen"/>
          <w:b/>
          <w:sz w:val="24"/>
          <w:szCs w:val="24"/>
        </w:rPr>
        <w:t>ամագործակցության մասնակից պետությունների համագործակցության մասին</w:t>
      </w:r>
    </w:p>
    <w:p w:rsidR="00A86467" w:rsidRPr="0020458E" w:rsidRDefault="00A86467" w:rsidP="0074024F">
      <w:pPr>
        <w:widowControl w:val="0"/>
        <w:spacing w:after="160"/>
        <w:rPr>
          <w:rFonts w:ascii="GHEA Grapalat" w:hAnsi="GHEA Grapalat"/>
          <w:sz w:val="24"/>
          <w:szCs w:val="24"/>
        </w:rPr>
      </w:pPr>
    </w:p>
    <w:p w:rsidR="00A86467" w:rsidRPr="0074024F" w:rsidRDefault="00A86467" w:rsidP="003C1044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Անկախ պետությունների համագործակցության մասնակից պետությունների կառավարությունները, այսուհետ՝ Կողմեր,</w:t>
      </w:r>
    </w:p>
    <w:p w:rsidR="00A86467" w:rsidRPr="0074024F" w:rsidRDefault="00A86467" w:rsidP="003C1044">
      <w:pPr>
        <w:widowControl w:val="0"/>
        <w:spacing w:after="160" w:line="336" w:lineRule="auto"/>
        <w:rPr>
          <w:rFonts w:ascii="GHEA Grapalat" w:hAnsi="GHEA Grapalat"/>
          <w:i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ելնելով ԱՊՀ մասնակից պետությունների մշակույթների միջ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պատմական կապերից,</w:t>
      </w:r>
    </w:p>
    <w:p w:rsidR="00A86467" w:rsidRPr="0074024F" w:rsidRDefault="00A86467" w:rsidP="003C1044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դիտարկելով թանգարանը որպես պատմական հիշողություն, հանդուրժողականություն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միջմշակութային երկխոսության հնարավորություն ձ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>ավորելու կար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>որագույն ինստիտուտ,</w:t>
      </w:r>
    </w:p>
    <w:p w:rsidR="00A86467" w:rsidRPr="0074024F" w:rsidRDefault="00D80031" w:rsidP="003C1044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ընդհանուր </w:t>
      </w:r>
      <w:r w:rsidR="00A86467" w:rsidRPr="0074024F">
        <w:rPr>
          <w:rFonts w:ascii="GHEA Grapalat" w:hAnsi="GHEA Grapalat"/>
          <w:sz w:val="24"/>
          <w:szCs w:val="24"/>
        </w:rPr>
        <w:t xml:space="preserve">շահագրգռվածություն </w:t>
      </w:r>
      <w:r w:rsidR="00E70167" w:rsidRPr="0074024F">
        <w:rPr>
          <w:rFonts w:ascii="GHEA Grapalat" w:hAnsi="GHEA Grapalat"/>
          <w:sz w:val="24"/>
          <w:szCs w:val="24"/>
        </w:rPr>
        <w:t>դր</w:t>
      </w:r>
      <w:r w:rsidR="00FC4DB9" w:rsidRPr="0074024F">
        <w:rPr>
          <w:rFonts w:ascii="GHEA Grapalat" w:hAnsi="GHEA Grapalat"/>
          <w:sz w:val="24"/>
          <w:szCs w:val="24"/>
        </w:rPr>
        <w:t>ս</w:t>
      </w:r>
      <w:r w:rsidR="0074024F">
        <w:rPr>
          <w:rFonts w:ascii="GHEA Grapalat" w:hAnsi="GHEA Grapalat"/>
          <w:sz w:val="24"/>
          <w:szCs w:val="24"/>
        </w:rPr>
        <w:t>եւ</w:t>
      </w:r>
      <w:r w:rsidR="00FC4DB9" w:rsidRPr="0074024F">
        <w:rPr>
          <w:rFonts w:ascii="GHEA Grapalat" w:hAnsi="GHEA Grapalat"/>
          <w:sz w:val="24"/>
          <w:szCs w:val="24"/>
        </w:rPr>
        <w:t xml:space="preserve">որելով </w:t>
      </w:r>
      <w:r w:rsidR="00A86467" w:rsidRPr="0074024F">
        <w:rPr>
          <w:rFonts w:ascii="GHEA Grapalat" w:hAnsi="GHEA Grapalat"/>
          <w:sz w:val="24"/>
          <w:szCs w:val="24"/>
        </w:rPr>
        <w:t xml:space="preserve">թանգարանային գործի բնագավառում համագործակցության լավագույն </w:t>
      </w:r>
      <w:r w:rsidRPr="0074024F">
        <w:rPr>
          <w:rFonts w:ascii="GHEA Grapalat" w:hAnsi="GHEA Grapalat"/>
          <w:sz w:val="24"/>
          <w:szCs w:val="24"/>
        </w:rPr>
        <w:t xml:space="preserve">ավանդույթները </w:t>
      </w:r>
      <w:r w:rsidR="00A86467" w:rsidRPr="0074024F">
        <w:rPr>
          <w:rFonts w:ascii="GHEA Grapalat" w:hAnsi="GHEA Grapalat"/>
          <w:sz w:val="24"/>
          <w:szCs w:val="24"/>
        </w:rPr>
        <w:t xml:space="preserve">պահպանելու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="00A86467" w:rsidRPr="0074024F">
        <w:rPr>
          <w:rFonts w:ascii="GHEA Grapalat" w:hAnsi="GHEA Grapalat"/>
          <w:sz w:val="24"/>
          <w:szCs w:val="24"/>
        </w:rPr>
        <w:t xml:space="preserve"> ԱՊՀ մասնակից պետությունների միջեւ թանգարանացուցահանդեսային փոխանակումն ընդլայնելու գործում,</w:t>
      </w:r>
    </w:p>
    <w:p w:rsidR="00A86467" w:rsidRPr="0074024F" w:rsidRDefault="00A86467" w:rsidP="003C1044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հիմնվելով «Մշակույթի բնագավառում համագործակցության մասին» 1992</w:t>
      </w:r>
      <w:r w:rsidR="003C1044">
        <w:rPr>
          <w:rFonts w:ascii="Courier New" w:hAnsi="Courier New" w:cs="Courier New"/>
          <w:sz w:val="24"/>
          <w:szCs w:val="24"/>
        </w:rPr>
        <w:t> </w:t>
      </w:r>
      <w:r w:rsidRPr="0074024F">
        <w:rPr>
          <w:rFonts w:ascii="GHEA Grapalat" w:hAnsi="GHEA Grapalat"/>
          <w:sz w:val="24"/>
          <w:szCs w:val="24"/>
        </w:rPr>
        <w:t xml:space="preserve">թվականի մայիսի 15-ի համաձայնագրի, «Անկախ պետությունների համագործակցության մասնակից պետությունների մշակութային համագործակցության խորհուրդ ստեղծելու մասին» 1995 թվականի մայիսի 26-ի համաձայնագրի (2011 թվականի հոկտեմբերի 18-ի արձանագրության խմբագրությամբ), «Անկախ պետությունների համագործակցության մասնակից պետությունների մարդասիրական համագործակցության մասին» 2005 թվականի օգոստոսի 26-ի համաձայնագրի, </w:t>
      </w:r>
      <w:r w:rsidR="00C449D6" w:rsidRPr="0074024F">
        <w:rPr>
          <w:rFonts w:ascii="GHEA Grapalat" w:hAnsi="GHEA Grapalat"/>
          <w:sz w:val="24"/>
          <w:szCs w:val="24"/>
        </w:rPr>
        <w:t xml:space="preserve">2011 թվականի մայիսի 19-ի՝ </w:t>
      </w:r>
      <w:r w:rsidRPr="0074024F">
        <w:rPr>
          <w:rFonts w:ascii="GHEA Grapalat" w:hAnsi="GHEA Grapalat"/>
          <w:sz w:val="24"/>
          <w:szCs w:val="24"/>
        </w:rPr>
        <w:t xml:space="preserve">Անկախ պետությունների համագործակցության մասնակից պետությունների՝ մշակույթի ոլորտում համագործակցության </w:t>
      </w:r>
      <w:r w:rsidR="003C1044">
        <w:rPr>
          <w:rFonts w:ascii="GHEA Grapalat" w:hAnsi="GHEA Grapalat"/>
          <w:sz w:val="24"/>
          <w:szCs w:val="24"/>
        </w:rPr>
        <w:t>հայեցակարգի դրույթների վրա,</w:t>
      </w:r>
    </w:p>
    <w:p w:rsidR="00A86467" w:rsidRPr="0074024F" w:rsidRDefault="00A86467" w:rsidP="0074024F">
      <w:pPr>
        <w:widowControl w:val="0"/>
        <w:spacing w:after="160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համաձայնեցին հետ</w:t>
      </w:r>
      <w:r w:rsidR="009C1DE2" w:rsidRPr="0074024F">
        <w:rPr>
          <w:rFonts w:ascii="GHEA Grapalat" w:hAnsi="GHEA Grapalat" w:cs="Sylfaen"/>
          <w:b/>
          <w:sz w:val="24"/>
          <w:szCs w:val="24"/>
        </w:rPr>
        <w:t>եւ</w:t>
      </w:r>
      <w:r w:rsidRPr="0074024F">
        <w:rPr>
          <w:rFonts w:ascii="GHEA Grapalat" w:hAnsi="GHEA Grapalat"/>
          <w:b/>
          <w:sz w:val="24"/>
          <w:szCs w:val="24"/>
        </w:rPr>
        <w:t>յալի մասին.</w:t>
      </w:r>
    </w:p>
    <w:p w:rsidR="00AF766B" w:rsidRDefault="00AF766B">
      <w:pPr>
        <w:spacing w:line="240" w:lineRule="auto"/>
        <w:ind w:firstLine="0"/>
        <w:jc w:val="lef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lastRenderedPageBreak/>
        <w:t>Հոդված 1</w:t>
      </w:r>
    </w:p>
    <w:p w:rsidR="00A86467" w:rsidRPr="0074024F" w:rsidRDefault="00A86467" w:rsidP="003C1044">
      <w:pPr>
        <w:widowControl w:val="0"/>
        <w:spacing w:after="160"/>
        <w:rPr>
          <w:rFonts w:ascii="GHEA Grapalat" w:hAnsi="GHEA Grapalat"/>
          <w:i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Կողմերն ստեղծում են բարենպաստ պայմաններ ԱՊՀ մասնակից պետությունների միջեւ թանգարանացուցահանդեսային փոխանակ</w:t>
      </w:r>
      <w:r w:rsidR="00C449D6" w:rsidRPr="0074024F">
        <w:rPr>
          <w:rFonts w:ascii="GHEA Grapalat" w:hAnsi="GHEA Grapalat"/>
          <w:sz w:val="24"/>
          <w:szCs w:val="24"/>
        </w:rPr>
        <w:t>ման զարգացման</w:t>
      </w:r>
      <w:r w:rsidRPr="0074024F">
        <w:rPr>
          <w:rFonts w:ascii="GHEA Grapalat" w:hAnsi="GHEA Grapalat"/>
          <w:sz w:val="24"/>
          <w:szCs w:val="24"/>
        </w:rPr>
        <w:t xml:space="preserve"> համար։</w:t>
      </w: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2</w:t>
      </w:r>
    </w:p>
    <w:p w:rsidR="00A86467" w:rsidRPr="0074024F" w:rsidRDefault="00A86467" w:rsidP="003C1044">
      <w:pPr>
        <w:widowControl w:val="0"/>
        <w:spacing w:after="160"/>
        <w:rPr>
          <w:rFonts w:ascii="GHEA Grapalat" w:hAnsi="GHEA Grapalat"/>
          <w:b/>
          <w:i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Կողմերը երաշխավորում են սույն համաձայնագրի մասնակից պետություններից մեկի կողմից սույն համաձայնագրի մյուս մասնակից պետությանը թանգարանացուցահանդեսային փոխանակման շրջանակներում ուղարկվող թանգարանային առարկաների պահպանվածության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ժամանակին վերադարձի, ինչպես նա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դատական անձեռնմխելիության, հայցի ապահովմանն ուղղված միջոցների </w:t>
      </w:r>
      <w:r w:rsidR="008A7C46" w:rsidRPr="0074024F">
        <w:rPr>
          <w:rFonts w:ascii="GHEA Grapalat" w:hAnsi="GHEA Grapalat"/>
          <w:sz w:val="24"/>
          <w:szCs w:val="24"/>
        </w:rPr>
        <w:t xml:space="preserve">նկատմամբ </w:t>
      </w:r>
      <w:r w:rsidRPr="0074024F">
        <w:rPr>
          <w:rFonts w:ascii="GHEA Grapalat" w:hAnsi="GHEA Grapalat"/>
          <w:sz w:val="24"/>
          <w:szCs w:val="24"/>
        </w:rPr>
        <w:t xml:space="preserve">անձեռնմխելիության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դատարանի որոշումը կատարելու մասով անձեռնմխելիության ապահովումը։</w:t>
      </w:r>
    </w:p>
    <w:p w:rsidR="00A86467" w:rsidRPr="00AF766B" w:rsidRDefault="00A86467" w:rsidP="005A72D2">
      <w:pPr>
        <w:widowControl w:val="0"/>
        <w:spacing w:after="160"/>
        <w:ind w:firstLine="0"/>
        <w:jc w:val="center"/>
        <w:rPr>
          <w:rFonts w:ascii="GHEA Grapalat" w:hAnsi="GHEA Grapalat"/>
          <w:sz w:val="16"/>
          <w:szCs w:val="16"/>
        </w:rPr>
      </w:pP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3</w:t>
      </w:r>
    </w:p>
    <w:p w:rsidR="00A86467" w:rsidRPr="0074024F" w:rsidRDefault="00A86467" w:rsidP="003C1044">
      <w:pPr>
        <w:widowControl w:val="0"/>
        <w:spacing w:after="160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Կողմերը խրախուսում են սույն համաձայնագրի մասնակից պետությունների պատմությանը, մշակույթին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արվեստին նվիրված համատեղ ցուցահանդեսային նախագծերի նախապատրաստումն ու իրագործումը, այդ թվում՝ համացանցի օգտագործմամբ։</w:t>
      </w: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4</w:t>
      </w:r>
    </w:p>
    <w:p w:rsidR="00A86467" w:rsidRPr="0074024F" w:rsidRDefault="00A86467" w:rsidP="0074024F">
      <w:pPr>
        <w:widowControl w:val="0"/>
        <w:spacing w:after="160"/>
        <w:ind w:firstLine="709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Կողմերը նպաստում են սույն համաձայնագրի մասնակից պետությունների թանգարանների համատեղ գիտական ծրագրերի կազմակերպմանն ու իրագործմանը</w:t>
      </w:r>
      <w:r w:rsidR="00A91DD6" w:rsidRPr="0074024F">
        <w:rPr>
          <w:rFonts w:ascii="GHEA Grapalat" w:hAnsi="GHEA Grapalat"/>
          <w:sz w:val="24"/>
          <w:szCs w:val="24"/>
        </w:rPr>
        <w:t>՝</w:t>
      </w:r>
      <w:r w:rsidRPr="0074024F">
        <w:rPr>
          <w:rFonts w:ascii="GHEA Grapalat" w:hAnsi="GHEA Grapalat"/>
          <w:sz w:val="24"/>
          <w:szCs w:val="24"/>
        </w:rPr>
        <w:t xml:space="preserve"> հնագիտության, ռեստավրացիայի, փորձաքննության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</w:t>
      </w:r>
      <w:r w:rsidR="00A91DD6" w:rsidRPr="0074024F">
        <w:rPr>
          <w:rFonts w:ascii="GHEA Grapalat" w:hAnsi="GHEA Grapalat"/>
          <w:sz w:val="24"/>
          <w:szCs w:val="24"/>
        </w:rPr>
        <w:t>ատր</w:t>
      </w:r>
      <w:r w:rsidR="00555DCE" w:rsidRPr="0074024F">
        <w:rPr>
          <w:rFonts w:ascii="GHEA Grapalat" w:hAnsi="GHEA Grapalat"/>
          <w:sz w:val="24"/>
          <w:szCs w:val="24"/>
        </w:rPr>
        <w:t>ի</w:t>
      </w:r>
      <w:r w:rsidR="00A91DD6" w:rsidRPr="0074024F">
        <w:rPr>
          <w:rFonts w:ascii="GHEA Grapalat" w:hAnsi="GHEA Grapalat"/>
          <w:sz w:val="24"/>
          <w:szCs w:val="24"/>
        </w:rPr>
        <w:t>բուցիայի</w:t>
      </w:r>
      <w:r w:rsidRPr="0074024F">
        <w:rPr>
          <w:rFonts w:ascii="GHEA Grapalat" w:hAnsi="GHEA Grapalat"/>
          <w:sz w:val="24"/>
          <w:szCs w:val="24"/>
        </w:rPr>
        <w:t>, բնական ժառանգության ուսումնասիր</w:t>
      </w:r>
      <w:r w:rsidR="00555DCE" w:rsidRPr="0074024F">
        <w:rPr>
          <w:rFonts w:ascii="GHEA Grapalat" w:hAnsi="GHEA Grapalat"/>
          <w:sz w:val="24"/>
          <w:szCs w:val="24"/>
        </w:rPr>
        <w:t xml:space="preserve">ության </w:t>
      </w:r>
      <w:r w:rsidRPr="0074024F">
        <w:rPr>
          <w:rFonts w:ascii="GHEA Grapalat" w:hAnsi="GHEA Grapalat"/>
          <w:sz w:val="24"/>
          <w:szCs w:val="24"/>
        </w:rPr>
        <w:t>բնագավառում։</w:t>
      </w:r>
    </w:p>
    <w:p w:rsidR="00AF766B" w:rsidRPr="00AF766B" w:rsidRDefault="00AF766B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12"/>
          <w:szCs w:val="12"/>
          <w:lang w:val="en-US"/>
        </w:rPr>
      </w:pP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5</w:t>
      </w:r>
    </w:p>
    <w:p w:rsidR="00A86467" w:rsidRPr="0074024F" w:rsidRDefault="00A86467" w:rsidP="005A72D2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Անկախ պետությունների համագործակցության մասնակից պետությունների մշակութային համագործակցության խորհրդի շրջանակներում Կողմերը </w:t>
      </w:r>
      <w:r w:rsidRPr="0074024F">
        <w:rPr>
          <w:rFonts w:ascii="GHEA Grapalat" w:hAnsi="GHEA Grapalat"/>
          <w:sz w:val="24"/>
          <w:szCs w:val="24"/>
        </w:rPr>
        <w:lastRenderedPageBreak/>
        <w:t xml:space="preserve">պարբերաբար անցկացնում են խորհրդակցություններ թանգարանային գործի բնագավառում գիտահետազոտական աշխատանքների գերակա ուղղությունները որոշելու վերաբերյալ, կազմակերպում են գիտական տեղեկատվության միջթանգարանային փոխանակում, աջակցում են թանգարանագիտության վերաբերյալ տեղեկատվական տեղեկագրերի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գիտական ժողովածուների պատրաստմանն ու թողարկմանը։ </w:t>
      </w:r>
    </w:p>
    <w:p w:rsidR="00A86467" w:rsidRPr="00AF766B" w:rsidRDefault="00A86467" w:rsidP="0074024F">
      <w:pPr>
        <w:widowControl w:val="0"/>
        <w:spacing w:after="160"/>
        <w:ind w:firstLine="709"/>
        <w:rPr>
          <w:rFonts w:ascii="GHEA Grapalat" w:hAnsi="GHEA Grapalat"/>
          <w:sz w:val="16"/>
          <w:szCs w:val="16"/>
        </w:rPr>
      </w:pP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6</w:t>
      </w:r>
    </w:p>
    <w:p w:rsidR="00A86467" w:rsidRPr="0074024F" w:rsidRDefault="00A86467" w:rsidP="003C1044">
      <w:pPr>
        <w:widowControl w:val="0"/>
        <w:spacing w:after="160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Կողմերը խրախուսում են թանգարանային գործի բնագավառում արդիական խնդիրների շուրջ համատեղ գիտական, գիտագործնական համաժողովների ու սեմինարների, կլոր սեղանների անցկացումը, ինչպես նա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նպաստում են մասնագետների փոխադարձ մասնակցությանը սույն համաձայնագրի մասնակից պետություններում անցկացվող նույնանման միջոցառումներին։</w:t>
      </w:r>
    </w:p>
    <w:p w:rsidR="00A86467" w:rsidRPr="00AF766B" w:rsidRDefault="00A86467" w:rsidP="0074024F">
      <w:pPr>
        <w:widowControl w:val="0"/>
        <w:spacing w:after="160"/>
        <w:ind w:firstLine="709"/>
        <w:rPr>
          <w:rFonts w:ascii="GHEA Grapalat" w:hAnsi="GHEA Grapalat"/>
          <w:sz w:val="16"/>
          <w:szCs w:val="16"/>
        </w:rPr>
      </w:pP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7</w:t>
      </w:r>
    </w:p>
    <w:p w:rsidR="00A86467" w:rsidRPr="0074024F" w:rsidRDefault="00A86467" w:rsidP="005A72D2">
      <w:pPr>
        <w:widowControl w:val="0"/>
        <w:spacing w:after="160" w:line="336" w:lineRule="auto"/>
        <w:rPr>
          <w:rFonts w:ascii="GHEA Grapalat" w:hAnsi="GHEA Grapalat"/>
          <w:b/>
          <w:i/>
          <w:sz w:val="24"/>
          <w:szCs w:val="24"/>
        </w:rPr>
      </w:pPr>
      <w:r w:rsidRPr="005A72D2">
        <w:rPr>
          <w:rFonts w:ascii="GHEA Grapalat" w:hAnsi="GHEA Grapalat"/>
          <w:spacing w:val="-6"/>
          <w:sz w:val="24"/>
          <w:szCs w:val="24"/>
        </w:rPr>
        <w:t>Կողմերն իրականացնում են համագործակցություն թանգարանային աշխատողների, այդ թվում՝ հաշվառման</w:t>
      </w:r>
      <w:r w:rsidR="00B53BAD" w:rsidRPr="005A72D2">
        <w:rPr>
          <w:rFonts w:ascii="GHEA Grapalat" w:hAnsi="GHEA Grapalat"/>
          <w:spacing w:val="-6"/>
          <w:sz w:val="24"/>
          <w:szCs w:val="24"/>
        </w:rPr>
        <w:t xml:space="preserve"> եւ </w:t>
      </w:r>
      <w:r w:rsidRPr="005A72D2">
        <w:rPr>
          <w:rFonts w:ascii="GHEA Grapalat" w:hAnsi="GHEA Grapalat"/>
          <w:spacing w:val="-6"/>
          <w:sz w:val="24"/>
          <w:szCs w:val="24"/>
        </w:rPr>
        <w:t>պահ</w:t>
      </w:r>
      <w:r w:rsidR="00B53BAD" w:rsidRPr="005A72D2">
        <w:rPr>
          <w:rFonts w:ascii="GHEA Grapalat" w:hAnsi="GHEA Grapalat"/>
          <w:spacing w:val="-6"/>
          <w:sz w:val="24"/>
          <w:szCs w:val="24"/>
        </w:rPr>
        <w:t>պ</w:t>
      </w:r>
      <w:r w:rsidRPr="005A72D2">
        <w:rPr>
          <w:rFonts w:ascii="GHEA Grapalat" w:hAnsi="GHEA Grapalat"/>
          <w:spacing w:val="-6"/>
          <w:sz w:val="24"/>
          <w:szCs w:val="24"/>
        </w:rPr>
        <w:t>անման գործունեության,</w:t>
      </w:r>
      <w:r w:rsidR="0074024F" w:rsidRPr="005A72D2">
        <w:rPr>
          <w:rFonts w:ascii="GHEA Grapalat" w:hAnsi="GHEA Grapalat"/>
          <w:spacing w:val="-6"/>
          <w:sz w:val="24"/>
          <w:szCs w:val="24"/>
        </w:rPr>
        <w:t xml:space="preserve"> </w:t>
      </w:r>
      <w:r w:rsidRPr="005A72D2">
        <w:rPr>
          <w:rFonts w:ascii="GHEA Grapalat" w:hAnsi="GHEA Grapalat"/>
          <w:spacing w:val="-6"/>
          <w:sz w:val="24"/>
          <w:szCs w:val="24"/>
        </w:rPr>
        <w:t>էքսպոզիցիոն-ցուցահանդեսային գործունեության, էքսկուրսիոն, մշակութային ու լուսաբան</w:t>
      </w:r>
      <w:r w:rsidR="00ED7303" w:rsidRPr="005A72D2">
        <w:rPr>
          <w:rFonts w:ascii="GHEA Grapalat" w:hAnsi="GHEA Grapalat"/>
          <w:spacing w:val="-6"/>
          <w:sz w:val="24"/>
          <w:szCs w:val="24"/>
        </w:rPr>
        <w:t>ման</w:t>
      </w:r>
      <w:r w:rsidRPr="005A72D2">
        <w:rPr>
          <w:rFonts w:ascii="GHEA Grapalat" w:hAnsi="GHEA Grapalat"/>
          <w:spacing w:val="-6"/>
          <w:sz w:val="24"/>
          <w:szCs w:val="24"/>
        </w:rPr>
        <w:t xml:space="preserve"> գործունեության </w:t>
      </w:r>
      <w:r w:rsidR="00ED7303" w:rsidRPr="005A72D2">
        <w:rPr>
          <w:rFonts w:ascii="GHEA Grapalat" w:hAnsi="GHEA Grapalat"/>
          <w:spacing w:val="-6"/>
          <w:sz w:val="24"/>
          <w:szCs w:val="24"/>
        </w:rPr>
        <w:t xml:space="preserve">գծով </w:t>
      </w:r>
      <w:r w:rsidRPr="005A72D2">
        <w:rPr>
          <w:rFonts w:ascii="GHEA Grapalat" w:hAnsi="GHEA Grapalat"/>
          <w:spacing w:val="-6"/>
          <w:sz w:val="24"/>
          <w:szCs w:val="24"/>
        </w:rPr>
        <w:t xml:space="preserve">մասնագետների՝ թանգարանային առարկաների ռեստավրացիայի </w:t>
      </w:r>
      <w:r w:rsidR="009C1DE2" w:rsidRPr="005A72D2">
        <w:rPr>
          <w:rFonts w:ascii="GHEA Grapalat" w:hAnsi="GHEA Grapalat" w:cs="Sylfaen"/>
          <w:spacing w:val="-6"/>
          <w:sz w:val="24"/>
          <w:szCs w:val="24"/>
        </w:rPr>
        <w:t>եւ</w:t>
      </w:r>
      <w:r w:rsidRPr="005A72D2">
        <w:rPr>
          <w:rFonts w:ascii="GHEA Grapalat" w:hAnsi="GHEA Grapalat"/>
          <w:spacing w:val="-6"/>
          <w:sz w:val="24"/>
          <w:szCs w:val="24"/>
        </w:rPr>
        <w:t xml:space="preserve"> պահպանման ոլորտում վերապատրաստման </w:t>
      </w:r>
      <w:r w:rsidR="009C1DE2" w:rsidRPr="005A72D2">
        <w:rPr>
          <w:rFonts w:ascii="GHEA Grapalat" w:hAnsi="GHEA Grapalat" w:cs="Sylfaen"/>
          <w:spacing w:val="-6"/>
          <w:sz w:val="24"/>
          <w:szCs w:val="24"/>
        </w:rPr>
        <w:t>եւ</w:t>
      </w:r>
      <w:r w:rsidRPr="005A72D2">
        <w:rPr>
          <w:rFonts w:ascii="GHEA Grapalat" w:hAnsi="GHEA Grapalat"/>
          <w:spacing w:val="-6"/>
          <w:sz w:val="24"/>
          <w:szCs w:val="24"/>
        </w:rPr>
        <w:t xml:space="preserve"> որակավորման բարձրացման, ինչպես նա</w:t>
      </w:r>
      <w:r w:rsidR="009C1DE2" w:rsidRPr="005A72D2">
        <w:rPr>
          <w:rFonts w:ascii="GHEA Grapalat" w:hAnsi="GHEA Grapalat" w:cs="Sylfaen"/>
          <w:spacing w:val="-6"/>
          <w:sz w:val="24"/>
          <w:szCs w:val="24"/>
        </w:rPr>
        <w:t>եւ</w:t>
      </w:r>
      <w:r w:rsidR="0074024F" w:rsidRPr="005A72D2">
        <w:rPr>
          <w:rFonts w:ascii="GHEA Grapalat" w:hAnsi="GHEA Grapalat"/>
          <w:spacing w:val="-6"/>
          <w:sz w:val="24"/>
          <w:szCs w:val="24"/>
        </w:rPr>
        <w:t xml:space="preserve"> </w:t>
      </w:r>
      <w:r w:rsidRPr="005A72D2">
        <w:rPr>
          <w:rFonts w:ascii="GHEA Grapalat" w:hAnsi="GHEA Grapalat"/>
          <w:spacing w:val="-6"/>
          <w:sz w:val="24"/>
          <w:szCs w:val="24"/>
        </w:rPr>
        <w:t>միջթանգարանային ստաժավորումների, թանգարանային գործունեության հիմնական ուղղություններով վարպետության</w:t>
      </w:r>
      <w:r w:rsidRPr="0074024F">
        <w:rPr>
          <w:rFonts w:ascii="GHEA Grapalat" w:hAnsi="GHEA Grapalat"/>
          <w:sz w:val="24"/>
          <w:szCs w:val="24"/>
        </w:rPr>
        <w:t xml:space="preserve"> դասերի կազմակերպման, սույն համաձայնագրի մասնակից պետությունների առաջատար թանգարանային կենտրոններում հեռավար ուսուցման համար պայմանների ու տեխնիկական հնարավորությունների ստեղծման գործում։</w:t>
      </w:r>
    </w:p>
    <w:p w:rsidR="00AF766B" w:rsidRDefault="00AF766B" w:rsidP="005A72D2">
      <w:pPr>
        <w:widowControl w:val="0"/>
        <w:spacing w:after="160" w:line="336" w:lineRule="auto"/>
        <w:ind w:firstLine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86467" w:rsidRPr="0074024F" w:rsidRDefault="00A86467" w:rsidP="005A72D2">
      <w:pPr>
        <w:widowControl w:val="0"/>
        <w:spacing w:after="160" w:line="336" w:lineRule="auto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8</w:t>
      </w:r>
    </w:p>
    <w:p w:rsidR="00A86467" w:rsidRPr="0074024F" w:rsidRDefault="00A86467" w:rsidP="005A72D2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Կողմերն իրականացնում են փորձի փոխանակում ցուցահանդեսների կազմակերպման ժամանակ ժամանակակից տեխնոլոգիաների ներդրման, ինչպես </w:t>
      </w:r>
      <w:r w:rsidRPr="0074024F">
        <w:rPr>
          <w:rFonts w:ascii="GHEA Grapalat" w:hAnsi="GHEA Grapalat"/>
          <w:sz w:val="24"/>
          <w:szCs w:val="24"/>
        </w:rPr>
        <w:lastRenderedPageBreak/>
        <w:t>նա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թանգարանային առարկաների </w:t>
      </w:r>
      <w:r w:rsidR="004F12A3" w:rsidRPr="0074024F">
        <w:rPr>
          <w:rFonts w:ascii="GHEA Grapalat" w:hAnsi="GHEA Grapalat"/>
          <w:sz w:val="24"/>
          <w:szCs w:val="24"/>
        </w:rPr>
        <w:t>պահպանման</w:t>
      </w:r>
      <w:r w:rsidRPr="0074024F">
        <w:rPr>
          <w:rFonts w:ascii="GHEA Grapalat" w:hAnsi="GHEA Grapalat"/>
          <w:sz w:val="24"/>
          <w:szCs w:val="24"/>
        </w:rPr>
        <w:t xml:space="preserve">, ռեստավրացիայի </w:t>
      </w:r>
      <w:r w:rsidR="009C1DE2" w:rsidRPr="0074024F">
        <w:rPr>
          <w:rFonts w:ascii="GHEA Grapalat" w:hAnsi="GHEA Grapalat" w:cs="Sylfaen"/>
          <w:sz w:val="24"/>
          <w:szCs w:val="24"/>
        </w:rPr>
        <w:t>եւ</w:t>
      </w:r>
      <w:r w:rsidRPr="0074024F">
        <w:rPr>
          <w:rFonts w:ascii="GHEA Grapalat" w:hAnsi="GHEA Grapalat"/>
          <w:sz w:val="24"/>
          <w:szCs w:val="24"/>
        </w:rPr>
        <w:t xml:space="preserve"> </w:t>
      </w:r>
      <w:r w:rsidR="004F12A3" w:rsidRPr="0074024F">
        <w:rPr>
          <w:rFonts w:ascii="GHEA Grapalat" w:hAnsi="GHEA Grapalat"/>
          <w:sz w:val="24"/>
          <w:szCs w:val="24"/>
        </w:rPr>
        <w:t xml:space="preserve">կոնսերվացման </w:t>
      </w:r>
      <w:r w:rsidR="003C1044">
        <w:rPr>
          <w:rFonts w:ascii="GHEA Grapalat" w:hAnsi="GHEA Grapalat"/>
          <w:sz w:val="24"/>
          <w:szCs w:val="24"/>
        </w:rPr>
        <w:t>բնագավառում։</w:t>
      </w:r>
    </w:p>
    <w:p w:rsidR="00A86467" w:rsidRPr="00AF766B" w:rsidRDefault="00A86467" w:rsidP="005A72D2">
      <w:pPr>
        <w:widowControl w:val="0"/>
        <w:spacing w:after="120" w:line="336" w:lineRule="auto"/>
        <w:ind w:firstLine="709"/>
        <w:rPr>
          <w:rFonts w:ascii="GHEA Grapalat" w:hAnsi="GHEA Grapalat"/>
          <w:sz w:val="16"/>
          <w:szCs w:val="16"/>
        </w:rPr>
      </w:pPr>
    </w:p>
    <w:p w:rsidR="00A86467" w:rsidRPr="0074024F" w:rsidRDefault="00A86467" w:rsidP="005A72D2">
      <w:pPr>
        <w:widowControl w:val="0"/>
        <w:spacing w:after="160" w:line="336" w:lineRule="auto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9</w:t>
      </w:r>
    </w:p>
    <w:p w:rsidR="00A86467" w:rsidRPr="0074024F" w:rsidRDefault="00A86467" w:rsidP="005A72D2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Կողմերն իրականացնում են ներառական թանգարանային նախագծերի ու ծրագրերի իրագործմանն ուղղված՝ թանգարանների աշխատանքի </w:t>
      </w:r>
      <w:r w:rsidR="000372D4" w:rsidRPr="0074024F">
        <w:rPr>
          <w:rFonts w:ascii="GHEA Grapalat" w:hAnsi="GHEA Grapalat"/>
          <w:sz w:val="24"/>
          <w:szCs w:val="24"/>
        </w:rPr>
        <w:t>փորձի փոխանակում</w:t>
      </w:r>
      <w:r w:rsidRPr="0074024F">
        <w:rPr>
          <w:rFonts w:ascii="GHEA Grapalat" w:hAnsi="GHEA Grapalat"/>
          <w:sz w:val="24"/>
          <w:szCs w:val="24"/>
        </w:rPr>
        <w:t>։</w:t>
      </w:r>
    </w:p>
    <w:p w:rsidR="00A86467" w:rsidRPr="0074024F" w:rsidRDefault="00A86467" w:rsidP="005A72D2">
      <w:pPr>
        <w:widowControl w:val="0"/>
        <w:spacing w:after="120" w:line="336" w:lineRule="auto"/>
        <w:ind w:firstLine="709"/>
        <w:rPr>
          <w:rFonts w:ascii="GHEA Grapalat" w:hAnsi="GHEA Grapalat"/>
          <w:i/>
          <w:sz w:val="24"/>
          <w:szCs w:val="24"/>
        </w:rPr>
      </w:pPr>
    </w:p>
    <w:p w:rsidR="00A86467" w:rsidRPr="0074024F" w:rsidRDefault="00A86467" w:rsidP="005A72D2">
      <w:pPr>
        <w:widowControl w:val="0"/>
        <w:spacing w:after="160" w:line="336" w:lineRule="auto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10</w:t>
      </w:r>
    </w:p>
    <w:p w:rsidR="00A86467" w:rsidRPr="0074024F" w:rsidRDefault="00A86467" w:rsidP="005A72D2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Կողմերը սատարում են ԱՊՀ մասնակից պետությունների բազային կազմակերպության կողմից ԱՊՀ մասնակից պետություններում թանգարանային գործի մասսայականացմանն ուղղված</w:t>
      </w:r>
      <w:r w:rsidR="009073B9" w:rsidRPr="0074024F">
        <w:rPr>
          <w:rFonts w:ascii="GHEA Grapalat" w:hAnsi="GHEA Grapalat"/>
          <w:sz w:val="24"/>
          <w:szCs w:val="24"/>
        </w:rPr>
        <w:t>՝</w:t>
      </w:r>
      <w:r w:rsidRPr="0074024F">
        <w:rPr>
          <w:rFonts w:ascii="GHEA Grapalat" w:hAnsi="GHEA Grapalat"/>
          <w:sz w:val="24"/>
          <w:szCs w:val="24"/>
        </w:rPr>
        <w:t xml:space="preserve"> </w:t>
      </w:r>
      <w:r w:rsidR="009073B9" w:rsidRPr="0074024F">
        <w:rPr>
          <w:rFonts w:ascii="GHEA Grapalat" w:hAnsi="GHEA Grapalat"/>
          <w:sz w:val="24"/>
          <w:szCs w:val="24"/>
        </w:rPr>
        <w:t xml:space="preserve">«թանգարանային գործ» ուղղվածությամբ </w:t>
      </w:r>
      <w:r w:rsidRPr="0074024F">
        <w:rPr>
          <w:rFonts w:ascii="GHEA Grapalat" w:hAnsi="GHEA Grapalat"/>
          <w:sz w:val="24"/>
          <w:szCs w:val="24"/>
        </w:rPr>
        <w:t>ինտերնետ-ռե</w:t>
      </w:r>
      <w:r w:rsidR="005A72D2">
        <w:rPr>
          <w:rFonts w:ascii="GHEA Grapalat" w:hAnsi="GHEA Grapalat"/>
          <w:sz w:val="24"/>
          <w:szCs w:val="24"/>
        </w:rPr>
        <w:t>սուրսի ստեղծմանն ու զարգացմանը։</w:t>
      </w:r>
    </w:p>
    <w:p w:rsidR="00A86467" w:rsidRPr="0074024F" w:rsidRDefault="00A86467" w:rsidP="005A72D2">
      <w:pPr>
        <w:widowControl w:val="0"/>
        <w:spacing w:after="120" w:line="336" w:lineRule="auto"/>
        <w:ind w:firstLine="709"/>
        <w:rPr>
          <w:rFonts w:ascii="GHEA Grapalat" w:hAnsi="GHEA Grapalat"/>
          <w:sz w:val="24"/>
          <w:szCs w:val="24"/>
        </w:rPr>
      </w:pPr>
    </w:p>
    <w:p w:rsidR="00A86467" w:rsidRPr="0074024F" w:rsidRDefault="00A86467" w:rsidP="005A72D2">
      <w:pPr>
        <w:widowControl w:val="0"/>
        <w:spacing w:after="160" w:line="336" w:lineRule="auto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11</w:t>
      </w:r>
    </w:p>
    <w:p w:rsidR="00A86467" w:rsidRDefault="00A86467" w:rsidP="005A72D2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Կողմերը ցուցաբերում են փոխադարձ աջակցություն թանգարանային առարկաների պատկերների թվային պատճենների պատրաստման ու փոխանակման գործում՝ գիտական ու մշակութային գործունեության մ</w:t>
      </w:r>
      <w:r w:rsidR="005A72D2">
        <w:rPr>
          <w:rFonts w:ascii="GHEA Grapalat" w:hAnsi="GHEA Grapalat"/>
          <w:sz w:val="24"/>
          <w:szCs w:val="24"/>
        </w:rPr>
        <w:t>եջ դրանք օգտագործելու նպատակով։</w:t>
      </w:r>
    </w:p>
    <w:p w:rsidR="005A72D2" w:rsidRPr="0074024F" w:rsidRDefault="005A72D2" w:rsidP="005A72D2">
      <w:pPr>
        <w:widowControl w:val="0"/>
        <w:spacing w:after="120" w:line="336" w:lineRule="auto"/>
        <w:rPr>
          <w:rFonts w:ascii="GHEA Grapalat" w:hAnsi="GHEA Grapalat"/>
          <w:sz w:val="24"/>
          <w:szCs w:val="24"/>
        </w:rPr>
      </w:pPr>
    </w:p>
    <w:p w:rsidR="00A86467" w:rsidRDefault="00A86467" w:rsidP="00AF766B">
      <w:pPr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4024F">
        <w:rPr>
          <w:rFonts w:ascii="GHEA Grapalat" w:hAnsi="GHEA Grapalat"/>
          <w:b/>
          <w:sz w:val="24"/>
          <w:szCs w:val="24"/>
        </w:rPr>
        <w:t>Հոդված 12</w:t>
      </w:r>
    </w:p>
    <w:p w:rsidR="00AF766B" w:rsidRPr="00AF766B" w:rsidRDefault="00AF766B" w:rsidP="00AF766B">
      <w:pPr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86467" w:rsidRPr="0074024F" w:rsidRDefault="00A86467" w:rsidP="005A72D2">
      <w:pPr>
        <w:widowControl w:val="0"/>
        <w:spacing w:after="160" w:line="336" w:lineRule="auto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Կողմերը միավորում են ջանքերը ԱՊՀ մասնակից պետությունների ազգային թանգարանների հավաքածուներից կազմված մշակութային ժառանգության քարոզչության գործում։</w:t>
      </w:r>
    </w:p>
    <w:p w:rsidR="00AF766B" w:rsidRDefault="00AF766B">
      <w:pPr>
        <w:spacing w:line="240" w:lineRule="auto"/>
        <w:ind w:firstLine="0"/>
        <w:jc w:val="lef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A86467" w:rsidRPr="0074024F" w:rsidRDefault="00AF766B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>Հ</w:t>
      </w:r>
      <w:r w:rsidR="00A86467" w:rsidRPr="0074024F">
        <w:rPr>
          <w:rFonts w:ascii="GHEA Grapalat" w:hAnsi="GHEA Grapalat"/>
          <w:b/>
          <w:sz w:val="24"/>
          <w:szCs w:val="24"/>
        </w:rPr>
        <w:t>ոդված 13</w:t>
      </w:r>
    </w:p>
    <w:p w:rsidR="00A86467" w:rsidRPr="0074024F" w:rsidRDefault="00A86467" w:rsidP="005A72D2">
      <w:pPr>
        <w:widowControl w:val="0"/>
        <w:shd w:val="clear" w:color="auto" w:fill="FFFFFF"/>
        <w:spacing w:after="160" w:line="336" w:lineRule="auto"/>
        <w:rPr>
          <w:rFonts w:ascii="GHEA Grapalat" w:hAnsi="GHEA Grapalat"/>
          <w:color w:val="000000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>Սույն համաձայնագրի կիրառման եւ մեկնաբանման առնչությամբ Կողմերի միջեւ ծագող վիճելի հարցերը կարգավորվում են շահագրգիռ Կողմերի միջեւ խորհրդակցությունների եւ բանակցությունների միջոցով կամ Կողմերի կողմից համաձայնեցված այլ ընթացակարգով:</w:t>
      </w:r>
    </w:p>
    <w:p w:rsidR="00A86467" w:rsidRPr="0074024F" w:rsidRDefault="00A86467" w:rsidP="005A72D2">
      <w:pPr>
        <w:widowControl w:val="0"/>
        <w:shd w:val="clear" w:color="auto" w:fill="FFFFFF"/>
        <w:spacing w:after="160" w:line="336" w:lineRule="auto"/>
        <w:ind w:firstLine="709"/>
        <w:rPr>
          <w:rFonts w:ascii="GHEA Grapalat" w:hAnsi="GHEA Grapalat"/>
          <w:color w:val="000000"/>
          <w:sz w:val="24"/>
          <w:szCs w:val="24"/>
        </w:rPr>
      </w:pPr>
    </w:p>
    <w:p w:rsidR="00A86467" w:rsidRPr="0074024F" w:rsidRDefault="00A86467" w:rsidP="005A72D2">
      <w:pPr>
        <w:widowControl w:val="0"/>
        <w:spacing w:after="160" w:line="336" w:lineRule="auto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14</w:t>
      </w:r>
    </w:p>
    <w:p w:rsidR="00A86467" w:rsidRPr="0074024F" w:rsidRDefault="00A86467" w:rsidP="005A72D2">
      <w:pPr>
        <w:widowControl w:val="0"/>
        <w:shd w:val="clear" w:color="auto" w:fill="FFFFFF"/>
        <w:spacing w:after="160" w:line="336" w:lineRule="auto"/>
        <w:rPr>
          <w:rFonts w:ascii="GHEA Grapalat" w:hAnsi="GHEA Grapalat"/>
          <w:color w:val="000000"/>
          <w:sz w:val="24"/>
          <w:szCs w:val="24"/>
        </w:rPr>
      </w:pPr>
      <w:r w:rsidRPr="0074024F">
        <w:rPr>
          <w:rFonts w:ascii="GHEA Grapalat" w:hAnsi="GHEA Grapalat"/>
          <w:color w:val="000000"/>
          <w:sz w:val="24"/>
          <w:szCs w:val="24"/>
        </w:rPr>
        <w:t>Սույն համաձայնագիրն ուժի մեջ է մտնում այն ստորագրած Կողմերի կողմից համաձայնագիրն ուժի մեջ մտնելու համար անհրաժեշտ ներպետական ընթացակարգերի կատարման մասին երրորդ ծանուցումն ավանդապահի կողմից ստանալու օրվանից 30 օրը լրանալուց հետո։</w:t>
      </w:r>
    </w:p>
    <w:p w:rsidR="00A86467" w:rsidRPr="0074024F" w:rsidRDefault="00A86467" w:rsidP="005A72D2">
      <w:pPr>
        <w:widowControl w:val="0"/>
        <w:shd w:val="clear" w:color="auto" w:fill="FFFFFF"/>
        <w:spacing w:after="160" w:line="336" w:lineRule="auto"/>
        <w:rPr>
          <w:rFonts w:ascii="GHEA Grapalat" w:hAnsi="GHEA Grapalat"/>
          <w:color w:val="000000"/>
          <w:sz w:val="24"/>
          <w:szCs w:val="24"/>
        </w:rPr>
      </w:pPr>
      <w:r w:rsidRPr="0074024F">
        <w:rPr>
          <w:rFonts w:ascii="GHEA Grapalat" w:hAnsi="GHEA Grapalat"/>
          <w:color w:val="000000"/>
          <w:sz w:val="24"/>
          <w:szCs w:val="24"/>
        </w:rPr>
        <w:t>Ներպետական ընթացակարգերն ավելի ուշ կատարած Կողմերի համար սույն համաձայնագիրն ուժի մեջ է մտնում համապատասխան փաստաթղթերն ավանդապահի կողմից ստանալու օրվանից 30 օրը լրանալուց հետո։</w:t>
      </w:r>
    </w:p>
    <w:p w:rsidR="00A86467" w:rsidRPr="0074024F" w:rsidRDefault="00A86467" w:rsidP="005A72D2">
      <w:pPr>
        <w:widowControl w:val="0"/>
        <w:shd w:val="clear" w:color="auto" w:fill="FFFFFF"/>
        <w:spacing w:after="160" w:line="336" w:lineRule="auto"/>
        <w:ind w:firstLine="709"/>
        <w:rPr>
          <w:rFonts w:ascii="GHEA Grapalat" w:hAnsi="GHEA Grapalat"/>
          <w:color w:val="000000"/>
          <w:sz w:val="24"/>
          <w:szCs w:val="24"/>
        </w:rPr>
      </w:pPr>
    </w:p>
    <w:p w:rsidR="00A86467" w:rsidRPr="0074024F" w:rsidRDefault="00A86467" w:rsidP="005A72D2">
      <w:pPr>
        <w:widowControl w:val="0"/>
        <w:spacing w:after="160" w:line="336" w:lineRule="auto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t>Հոդված 15</w:t>
      </w:r>
    </w:p>
    <w:p w:rsidR="00A86467" w:rsidRPr="0074024F" w:rsidRDefault="00A86467" w:rsidP="005A72D2">
      <w:pPr>
        <w:pStyle w:val="FR1"/>
        <w:spacing w:after="160" w:line="336" w:lineRule="auto"/>
        <w:ind w:firstLine="567"/>
        <w:rPr>
          <w:rFonts w:ascii="GHEA Grapalat" w:hAnsi="GHEA Grapalat"/>
          <w:i/>
          <w:snapToGrid/>
          <w:szCs w:val="24"/>
        </w:rPr>
      </w:pPr>
      <w:r w:rsidRPr="0074024F">
        <w:rPr>
          <w:rFonts w:ascii="GHEA Grapalat" w:hAnsi="GHEA Grapalat"/>
          <w:snapToGrid/>
          <w:color w:val="000000"/>
          <w:szCs w:val="24"/>
        </w:rPr>
        <w:t>Կողմերի փոխադարձ համաձայնությամբ</w:t>
      </w:r>
      <w:r w:rsidR="00FC4DB9" w:rsidRPr="0074024F">
        <w:rPr>
          <w:rFonts w:ascii="GHEA Grapalat" w:hAnsi="GHEA Grapalat"/>
          <w:snapToGrid/>
          <w:color w:val="000000"/>
          <w:szCs w:val="24"/>
        </w:rPr>
        <w:t>՝</w:t>
      </w:r>
      <w:r w:rsidRPr="0074024F">
        <w:rPr>
          <w:rFonts w:ascii="GHEA Grapalat" w:hAnsi="GHEA Grapalat"/>
          <w:snapToGrid/>
          <w:color w:val="000000"/>
          <w:szCs w:val="24"/>
        </w:rPr>
        <w:t xml:space="preserve"> սույն համաձայնագրում կարող են կատարվել դրա անբաժանելի մասը հանդիսացող փոփոխություններ եւ լրացումներ, որոնք ձեւակերպվում են համապատասխան արձանագրությամբ։</w:t>
      </w:r>
    </w:p>
    <w:p w:rsidR="00A86467" w:rsidRPr="0074024F" w:rsidRDefault="00A86467" w:rsidP="0074024F">
      <w:pPr>
        <w:widowControl w:val="0"/>
        <w:shd w:val="clear" w:color="auto" w:fill="FFFFFF"/>
        <w:spacing w:after="160"/>
        <w:ind w:firstLine="709"/>
        <w:rPr>
          <w:rFonts w:ascii="GHEA Grapalat" w:hAnsi="GHEA Grapalat"/>
          <w:color w:val="000000"/>
          <w:sz w:val="24"/>
          <w:szCs w:val="24"/>
        </w:rPr>
      </w:pPr>
    </w:p>
    <w:p w:rsidR="00A86467" w:rsidRDefault="00A86467" w:rsidP="00AF766B">
      <w:pPr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4024F">
        <w:rPr>
          <w:rFonts w:ascii="GHEA Grapalat" w:hAnsi="GHEA Grapalat"/>
          <w:b/>
          <w:sz w:val="24"/>
          <w:szCs w:val="24"/>
        </w:rPr>
        <w:t>Հոդված 16</w:t>
      </w:r>
    </w:p>
    <w:p w:rsidR="00AF766B" w:rsidRPr="00AF766B" w:rsidRDefault="00AF766B" w:rsidP="00AF766B">
      <w:pPr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en-US"/>
        </w:rPr>
      </w:pPr>
      <w:bookmarkStart w:id="0" w:name="_GoBack"/>
      <w:bookmarkEnd w:id="0"/>
    </w:p>
    <w:p w:rsidR="00A86467" w:rsidRPr="0074024F" w:rsidRDefault="00A86467" w:rsidP="003C1044">
      <w:pPr>
        <w:widowControl w:val="0"/>
        <w:shd w:val="clear" w:color="auto" w:fill="FFFFFF"/>
        <w:spacing w:after="160"/>
        <w:rPr>
          <w:rFonts w:ascii="GHEA Grapalat" w:hAnsi="GHEA Grapalat"/>
          <w:color w:val="000000"/>
          <w:sz w:val="24"/>
          <w:szCs w:val="24"/>
        </w:rPr>
      </w:pPr>
      <w:r w:rsidRPr="0074024F">
        <w:rPr>
          <w:rFonts w:ascii="GHEA Grapalat" w:hAnsi="GHEA Grapalat"/>
          <w:color w:val="000000"/>
          <w:sz w:val="24"/>
          <w:szCs w:val="24"/>
        </w:rPr>
        <w:t xml:space="preserve">Ուժի մեջ մտնելուց հետո սույն համաձայնագիրը բաց է ԱՊՀ ցանկացած մասնակից պետության կողմից միանալու համար՝ միանալու մասին փաստաթուղթն ավանդապահին փոխանցելու միջոցով։ Միացող պետության համար </w:t>
      </w:r>
      <w:r w:rsidR="00CB6545" w:rsidRPr="0074024F">
        <w:rPr>
          <w:rFonts w:ascii="GHEA Grapalat" w:hAnsi="GHEA Grapalat"/>
          <w:color w:val="000000"/>
          <w:sz w:val="24"/>
          <w:szCs w:val="24"/>
        </w:rPr>
        <w:t>հ</w:t>
      </w:r>
      <w:r w:rsidRPr="0074024F">
        <w:rPr>
          <w:rFonts w:ascii="GHEA Grapalat" w:hAnsi="GHEA Grapalat"/>
          <w:color w:val="000000"/>
          <w:sz w:val="24"/>
          <w:szCs w:val="24"/>
        </w:rPr>
        <w:t>ամաձայնագիրն ուժի մեջ է մտնում միանալու մասին փաստաթուղթն ավանդապահի կողմից ստանալու օրվանից 30 օրը լրանալուց հետո։</w:t>
      </w:r>
    </w:p>
    <w:p w:rsidR="00AF766B" w:rsidRDefault="00AF766B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86467" w:rsidRPr="0074024F" w:rsidRDefault="00A86467" w:rsidP="003C1044">
      <w:pPr>
        <w:widowControl w:val="0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74024F">
        <w:rPr>
          <w:rFonts w:ascii="GHEA Grapalat" w:hAnsi="GHEA Grapalat"/>
          <w:b/>
          <w:sz w:val="24"/>
          <w:szCs w:val="24"/>
        </w:rPr>
        <w:lastRenderedPageBreak/>
        <w:t>Հոդված 17</w:t>
      </w:r>
    </w:p>
    <w:p w:rsidR="00A86467" w:rsidRPr="0074024F" w:rsidRDefault="00A86467" w:rsidP="003C1044">
      <w:pPr>
        <w:widowControl w:val="0"/>
        <w:shd w:val="clear" w:color="auto" w:fill="FFFFFF"/>
        <w:spacing w:after="160"/>
        <w:rPr>
          <w:rFonts w:ascii="GHEA Grapalat" w:hAnsi="GHEA Grapalat"/>
          <w:color w:val="000000"/>
          <w:sz w:val="24"/>
          <w:szCs w:val="24"/>
        </w:rPr>
      </w:pPr>
      <w:r w:rsidRPr="0074024F">
        <w:rPr>
          <w:rFonts w:ascii="GHEA Grapalat" w:hAnsi="GHEA Grapalat"/>
          <w:color w:val="000000"/>
          <w:sz w:val="24"/>
          <w:szCs w:val="24"/>
        </w:rPr>
        <w:t>Յուրաքանչյուր Կողմ կարող է դուրս գալ սույն համաձայնագրից՝ դրա մասին գրավոր ծանուցում ուղարկելով ավանդապահին դուրս գալուց ոչ ուշ, քան 6 ամիս առաջ։</w:t>
      </w:r>
    </w:p>
    <w:p w:rsidR="00A86467" w:rsidRPr="0074024F" w:rsidRDefault="00A86467" w:rsidP="003C1044">
      <w:pPr>
        <w:widowControl w:val="0"/>
        <w:shd w:val="clear" w:color="auto" w:fill="FFFFFF"/>
        <w:spacing w:after="160"/>
        <w:rPr>
          <w:rFonts w:ascii="GHEA Grapalat" w:hAnsi="GHEA Grapalat"/>
          <w:sz w:val="24"/>
          <w:szCs w:val="24"/>
        </w:rPr>
      </w:pPr>
    </w:p>
    <w:p w:rsidR="00A86467" w:rsidRDefault="00A86467" w:rsidP="003C1044">
      <w:pPr>
        <w:widowControl w:val="0"/>
        <w:spacing w:after="160"/>
        <w:rPr>
          <w:rFonts w:ascii="GHEA Grapalat" w:hAnsi="GHEA Grapalat"/>
          <w:sz w:val="24"/>
          <w:szCs w:val="24"/>
        </w:rPr>
      </w:pPr>
      <w:r w:rsidRPr="0074024F">
        <w:rPr>
          <w:rFonts w:ascii="GHEA Grapalat" w:hAnsi="GHEA Grapalat"/>
          <w:sz w:val="24"/>
          <w:szCs w:val="24"/>
        </w:rPr>
        <w:t xml:space="preserve">Կատարված է Աշխաբադ քաղաքում, 2019 թվականի մայիսի 31-ին, մեկ բնօրինակից՝ ռուսերենով։ Բնօրինակը պահվում է Անկախ պետությունների համագործակցության գործադիր կոմիտեում, որը սույն համաձայնագիրն ստորագրած յուրաքանչյուր </w:t>
      </w:r>
      <w:r w:rsidR="00FC4DB9" w:rsidRPr="0074024F">
        <w:rPr>
          <w:rFonts w:ascii="GHEA Grapalat" w:hAnsi="GHEA Grapalat"/>
          <w:sz w:val="24"/>
          <w:szCs w:val="24"/>
        </w:rPr>
        <w:t xml:space="preserve">պետություն </w:t>
      </w:r>
      <w:r w:rsidR="003C1044">
        <w:rPr>
          <w:rFonts w:ascii="GHEA Grapalat" w:hAnsi="GHEA Grapalat"/>
          <w:sz w:val="24"/>
          <w:szCs w:val="24"/>
        </w:rPr>
        <w:t>կուղարկի դրա հաստատված պատճենը։</w:t>
      </w:r>
    </w:p>
    <w:p w:rsidR="005A72D2" w:rsidRPr="0074024F" w:rsidRDefault="005A72D2" w:rsidP="003C1044">
      <w:pPr>
        <w:widowControl w:val="0"/>
        <w:spacing w:after="160"/>
        <w:rPr>
          <w:rFonts w:ascii="GHEA Grapalat" w:hAnsi="GHEA Grapalat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79"/>
        <w:gridCol w:w="4200"/>
      </w:tblGrid>
      <w:tr w:rsidR="00A86467" w:rsidRPr="0074024F" w:rsidTr="005A72D2">
        <w:trPr>
          <w:jc w:val="center"/>
        </w:trPr>
        <w:tc>
          <w:tcPr>
            <w:tcW w:w="4979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Ադրբեջանի Հանրապետության կառավարության կողմից՝</w:t>
            </w:r>
          </w:p>
        </w:tc>
        <w:tc>
          <w:tcPr>
            <w:tcW w:w="4200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Ռուսաստանի Դաշնության կառավարության կողմից՝</w:t>
            </w:r>
          </w:p>
        </w:tc>
      </w:tr>
      <w:tr w:rsidR="00A86467" w:rsidRPr="0074024F" w:rsidTr="005A72D2">
        <w:trPr>
          <w:jc w:val="center"/>
        </w:trPr>
        <w:tc>
          <w:tcPr>
            <w:tcW w:w="4979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 կառավարության կողմից՝</w:t>
            </w:r>
          </w:p>
        </w:tc>
        <w:tc>
          <w:tcPr>
            <w:tcW w:w="4200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Տաջիկստանի Հանրապետության կառավարության կողմից՝</w:t>
            </w:r>
          </w:p>
        </w:tc>
      </w:tr>
      <w:tr w:rsidR="00A86467" w:rsidRPr="0074024F" w:rsidTr="005A72D2">
        <w:trPr>
          <w:jc w:val="center"/>
        </w:trPr>
        <w:tc>
          <w:tcPr>
            <w:tcW w:w="4979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Բելառուսի Հանրապետության կառավարության կողմից՝</w:t>
            </w:r>
          </w:p>
        </w:tc>
        <w:tc>
          <w:tcPr>
            <w:tcW w:w="4200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Թուրքմենստանի Հանրապետության կառավարության կողմից՝</w:t>
            </w:r>
          </w:p>
        </w:tc>
      </w:tr>
      <w:tr w:rsidR="00A86467" w:rsidRPr="0074024F" w:rsidTr="005A72D2">
        <w:trPr>
          <w:jc w:val="center"/>
        </w:trPr>
        <w:tc>
          <w:tcPr>
            <w:tcW w:w="4979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Ղազախստանի Հանրապետության կառավարության կողմից՝</w:t>
            </w:r>
          </w:p>
        </w:tc>
        <w:tc>
          <w:tcPr>
            <w:tcW w:w="4200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Ուզբեկստանի Հանրապետության կառավարության կողմից՝</w:t>
            </w:r>
          </w:p>
        </w:tc>
      </w:tr>
      <w:tr w:rsidR="00A86467" w:rsidRPr="0074024F" w:rsidTr="005A72D2">
        <w:trPr>
          <w:jc w:val="center"/>
        </w:trPr>
        <w:tc>
          <w:tcPr>
            <w:tcW w:w="4979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Ղրղզստանի Հանրապետության կառավարության կողմից՝</w:t>
            </w:r>
          </w:p>
        </w:tc>
        <w:tc>
          <w:tcPr>
            <w:tcW w:w="4200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Ուկրաինայի կառավարության կողմից՝</w:t>
            </w:r>
          </w:p>
        </w:tc>
      </w:tr>
      <w:tr w:rsidR="00A86467" w:rsidRPr="0074024F" w:rsidTr="005A72D2">
        <w:trPr>
          <w:jc w:val="center"/>
        </w:trPr>
        <w:tc>
          <w:tcPr>
            <w:tcW w:w="4979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3C1044">
              <w:rPr>
                <w:rFonts w:ascii="GHEA Grapalat" w:hAnsi="GHEA Grapalat"/>
                <w:b/>
                <w:sz w:val="24"/>
                <w:szCs w:val="24"/>
              </w:rPr>
              <w:t>Մոլդովայի Հանրապետության կառավարության կողմից՝</w:t>
            </w:r>
          </w:p>
        </w:tc>
        <w:tc>
          <w:tcPr>
            <w:tcW w:w="4200" w:type="dxa"/>
            <w:shd w:val="clear" w:color="auto" w:fill="auto"/>
          </w:tcPr>
          <w:p w:rsidR="00A86467" w:rsidRPr="003C1044" w:rsidRDefault="00A86467" w:rsidP="00DB7518">
            <w:pPr>
              <w:widowControl w:val="0"/>
              <w:spacing w:after="160"/>
              <w:ind w:firstLine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A86467" w:rsidRDefault="00A86467" w:rsidP="0074024F">
      <w:pPr>
        <w:widowControl w:val="0"/>
        <w:spacing w:after="160"/>
        <w:ind w:firstLine="0"/>
        <w:rPr>
          <w:rFonts w:ascii="GHEA Grapalat" w:hAnsi="GHEA Grapalat"/>
          <w:b/>
          <w:sz w:val="24"/>
          <w:szCs w:val="24"/>
        </w:rPr>
      </w:pPr>
    </w:p>
    <w:p w:rsidR="00A86467" w:rsidRPr="00895D39" w:rsidRDefault="00A86467" w:rsidP="00895D39">
      <w:pPr>
        <w:spacing w:line="240" w:lineRule="auto"/>
        <w:ind w:firstLine="0"/>
        <w:jc w:val="left"/>
        <w:rPr>
          <w:rFonts w:ascii="GHEA Grapalat" w:hAnsi="GHEA Grapalat"/>
          <w:b/>
          <w:sz w:val="24"/>
          <w:szCs w:val="24"/>
          <w:lang w:val="en-US"/>
        </w:rPr>
      </w:pPr>
    </w:p>
    <w:sectPr w:rsidR="00A86467" w:rsidRPr="00895D39" w:rsidSect="00AF766B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1247" w:bottom="1134" w:left="1247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E1" w:rsidRDefault="002E0CE1">
      <w:r>
        <w:separator/>
      </w:r>
    </w:p>
  </w:endnote>
  <w:endnote w:type="continuationSeparator" w:id="0">
    <w:p w:rsidR="002E0CE1" w:rsidRDefault="002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467" w:rsidRPr="00895D39" w:rsidRDefault="00E70167" w:rsidP="00EE7B11">
    <w:pPr>
      <w:pStyle w:val="Header"/>
      <w:tabs>
        <w:tab w:val="clear" w:pos="4536"/>
        <w:tab w:val="clear" w:pos="9072"/>
        <w:tab w:val="center" w:pos="8505"/>
        <w:tab w:val="right" w:pos="9498"/>
      </w:tabs>
      <w:ind w:firstLine="0"/>
      <w:rPr>
        <w:rFonts w:ascii="GHEA Grapalat" w:hAnsi="GHEA Grapalat"/>
        <w:sz w:val="20"/>
        <w:lang w:val="en-US"/>
      </w:rPr>
    </w:pPr>
    <w:r w:rsidRPr="00EE7B11">
      <w:rPr>
        <w:rFonts w:ascii="GHEA Grapalat" w:hAnsi="GHEA Grapalat"/>
        <w:sz w:val="20"/>
      </w:rPr>
      <w:t>Աշխաբադ՝ 31 մայիսի 2019 թվական</w:t>
    </w:r>
    <w:r w:rsidR="00EE7B11" w:rsidRPr="00EE7B11">
      <w:rPr>
        <w:rFonts w:ascii="GHEA Grapalat" w:hAnsi="GHEA Grapalat"/>
        <w:sz w:val="20"/>
      </w:rPr>
      <w:tab/>
    </w:r>
    <w:r w:rsidR="002E0CE1">
      <w:fldChar w:fldCharType="begin"/>
    </w:r>
    <w:r w:rsidR="002E0CE1">
      <w:instrText xml:space="preserve"> FILENAME  \* MERGEFORMAT </w:instrText>
    </w:r>
    <w:r w:rsidR="002E0CE1">
      <w:fldChar w:fldCharType="separate"/>
    </w:r>
    <w:r w:rsidRPr="00EE7B11">
      <w:rPr>
        <w:rFonts w:ascii="GHEA Grapalat" w:hAnsi="GHEA Grapalat"/>
        <w:sz w:val="20"/>
      </w:rPr>
      <w:t>18111914-2</w:t>
    </w:r>
    <w:r w:rsidR="002E0CE1">
      <w:rPr>
        <w:rFonts w:ascii="GHEA Grapalat" w:hAnsi="GHEA Grapalat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467" w:rsidRPr="005C645A" w:rsidRDefault="001077F7" w:rsidP="005C645A">
    <w:pPr>
      <w:pStyle w:val="Footer"/>
      <w:tabs>
        <w:tab w:val="clear" w:pos="4536"/>
        <w:tab w:val="clear" w:pos="9072"/>
        <w:tab w:val="center" w:pos="8505"/>
      </w:tabs>
      <w:spacing w:line="240" w:lineRule="auto"/>
      <w:ind w:firstLine="0"/>
      <w:rPr>
        <w:rFonts w:ascii="GHEA Grapalat" w:hAnsi="GHEA Grapalat"/>
        <w:sz w:val="20"/>
      </w:rPr>
    </w:pPr>
    <w:r>
      <w:rPr>
        <w:rFonts w:ascii="GHEA Grapalat" w:hAnsi="GHEA Grapalat"/>
        <w:sz w:val="20"/>
      </w:rPr>
      <w:t>Աշխաբադ</w:t>
    </w:r>
    <w:r>
      <w:rPr>
        <w:rFonts w:ascii="GHEA Grapalat" w:hAnsi="GHEA Grapalat"/>
        <w:sz w:val="20"/>
        <w:lang w:val="en-US"/>
      </w:rPr>
      <w:t>,</w:t>
    </w:r>
    <w:r w:rsidR="00A86467" w:rsidRPr="005C645A">
      <w:rPr>
        <w:rFonts w:ascii="GHEA Grapalat" w:hAnsi="GHEA Grapalat"/>
        <w:sz w:val="20"/>
      </w:rPr>
      <w:t xml:space="preserve"> 31 մայիսի 2019 թվական</w:t>
    </w:r>
    <w:r>
      <w:rPr>
        <w:rFonts w:ascii="GHEA Grapalat" w:hAnsi="GHEA Grapalat"/>
        <w:sz w:val="20"/>
      </w:rPr>
      <w:t>ի</w:t>
    </w:r>
    <w:r w:rsidR="005C645A">
      <w:rPr>
        <w:rFonts w:ascii="GHEA Grapalat" w:hAnsi="GHEA Grapalat"/>
        <w:sz w:val="20"/>
      </w:rPr>
      <w:tab/>
    </w:r>
    <w:r w:rsidR="002E0CE1">
      <w:fldChar w:fldCharType="begin"/>
    </w:r>
    <w:r w:rsidR="002E0CE1">
      <w:instrText xml:space="preserve"> FILENAME  \* MERGEFORMAT </w:instrText>
    </w:r>
    <w:r w:rsidR="002E0CE1">
      <w:fldChar w:fldCharType="separate"/>
    </w:r>
    <w:r w:rsidR="00A86467" w:rsidRPr="005C645A">
      <w:rPr>
        <w:rFonts w:ascii="GHEA Grapalat" w:hAnsi="GHEA Grapalat"/>
        <w:sz w:val="20"/>
      </w:rPr>
      <w:t>18111914-2</w:t>
    </w:r>
    <w:r w:rsidR="002E0CE1">
      <w:rPr>
        <w:rFonts w:ascii="GHEA Grapalat" w:hAnsi="GHEA Grapalat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E1" w:rsidRDefault="002E0CE1">
      <w:r>
        <w:separator/>
      </w:r>
    </w:p>
  </w:footnote>
  <w:footnote w:type="continuationSeparator" w:id="0">
    <w:p w:rsidR="002E0CE1" w:rsidRDefault="002E0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467" w:rsidRDefault="00A85E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4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6467" w:rsidRDefault="00A86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467" w:rsidRPr="00895D39" w:rsidRDefault="00A86467" w:rsidP="00895D39">
    <w:pPr>
      <w:pStyle w:val="Header"/>
      <w:tabs>
        <w:tab w:val="clear" w:pos="4536"/>
        <w:tab w:val="center" w:pos="4535"/>
        <w:tab w:val="left" w:pos="5710"/>
      </w:tabs>
      <w:ind w:firstLine="0"/>
      <w:jc w:val="left"/>
      <w:rPr>
        <w:rFonts w:ascii="GHEA Grapalat" w:hAnsi="GHEA Grapalat"/>
        <w:sz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182"/>
    <w:rsid w:val="000360A5"/>
    <w:rsid w:val="000372D4"/>
    <w:rsid w:val="00040058"/>
    <w:rsid w:val="001077F7"/>
    <w:rsid w:val="0016644E"/>
    <w:rsid w:val="00184E86"/>
    <w:rsid w:val="0020458E"/>
    <w:rsid w:val="0027592C"/>
    <w:rsid w:val="002E0CE1"/>
    <w:rsid w:val="003B11CB"/>
    <w:rsid w:val="003C1044"/>
    <w:rsid w:val="003D4182"/>
    <w:rsid w:val="003F6411"/>
    <w:rsid w:val="00440FDB"/>
    <w:rsid w:val="004F12A3"/>
    <w:rsid w:val="00507370"/>
    <w:rsid w:val="00555DCE"/>
    <w:rsid w:val="00556C33"/>
    <w:rsid w:val="00593478"/>
    <w:rsid w:val="005A72D2"/>
    <w:rsid w:val="005C645A"/>
    <w:rsid w:val="00633909"/>
    <w:rsid w:val="00656364"/>
    <w:rsid w:val="006A116D"/>
    <w:rsid w:val="00735C94"/>
    <w:rsid w:val="0074024F"/>
    <w:rsid w:val="00760878"/>
    <w:rsid w:val="00854B2F"/>
    <w:rsid w:val="00895D39"/>
    <w:rsid w:val="008A7C46"/>
    <w:rsid w:val="008E1E94"/>
    <w:rsid w:val="009073B9"/>
    <w:rsid w:val="009C1DE2"/>
    <w:rsid w:val="00A36C39"/>
    <w:rsid w:val="00A85E5A"/>
    <w:rsid w:val="00A86467"/>
    <w:rsid w:val="00A91DD6"/>
    <w:rsid w:val="00AF766B"/>
    <w:rsid w:val="00B029F4"/>
    <w:rsid w:val="00B53BAD"/>
    <w:rsid w:val="00C07136"/>
    <w:rsid w:val="00C304DA"/>
    <w:rsid w:val="00C449D6"/>
    <w:rsid w:val="00CB6545"/>
    <w:rsid w:val="00D50E7F"/>
    <w:rsid w:val="00D80031"/>
    <w:rsid w:val="00D91B56"/>
    <w:rsid w:val="00DB7518"/>
    <w:rsid w:val="00E11197"/>
    <w:rsid w:val="00E70167"/>
    <w:rsid w:val="00E86451"/>
    <w:rsid w:val="00EB3CE1"/>
    <w:rsid w:val="00ED7303"/>
    <w:rsid w:val="00EE7B11"/>
    <w:rsid w:val="00F53878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167"/>
    <w:pPr>
      <w:spacing w:line="360" w:lineRule="auto"/>
      <w:ind w:firstLine="567"/>
      <w:jc w:val="both"/>
    </w:pPr>
    <w:rPr>
      <w:sz w:val="28"/>
      <w:lang w:val="hy-AM" w:eastAsia="hy-AM"/>
    </w:rPr>
  </w:style>
  <w:style w:type="paragraph" w:styleId="Heading1">
    <w:name w:val="heading 1"/>
    <w:basedOn w:val="Normal"/>
    <w:next w:val="Normal"/>
    <w:qFormat/>
    <w:rsid w:val="00E70167"/>
    <w:pPr>
      <w:spacing w:line="360" w:lineRule="atLeast"/>
      <w:ind w:firstLine="0"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016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701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0167"/>
  </w:style>
  <w:style w:type="paragraph" w:customStyle="1" w:styleId="a">
    <w:name w:val="Без красной"/>
    <w:basedOn w:val="Normal"/>
    <w:rsid w:val="00E70167"/>
    <w:pPr>
      <w:tabs>
        <w:tab w:val="left" w:pos="5387"/>
      </w:tabs>
      <w:spacing w:line="312" w:lineRule="exact"/>
      <w:ind w:firstLine="0"/>
    </w:pPr>
    <w:rPr>
      <w:b/>
    </w:rPr>
  </w:style>
  <w:style w:type="table" w:styleId="TableGrid">
    <w:name w:val="Table Grid"/>
    <w:basedOn w:val="TableNormal"/>
    <w:rsid w:val="00CC3D45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E7C7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7C75"/>
    <w:rPr>
      <w:rFonts w:ascii="Tahoma" w:hAnsi="Tahoma" w:cs="Tahoma"/>
      <w:sz w:val="16"/>
      <w:szCs w:val="16"/>
      <w:lang w:val="hy-AM" w:eastAsia="hy-AM"/>
    </w:rPr>
  </w:style>
  <w:style w:type="paragraph" w:customStyle="1" w:styleId="FR1">
    <w:name w:val="FR1"/>
    <w:rsid w:val="00C711F5"/>
    <w:pPr>
      <w:widowControl w:val="0"/>
      <w:spacing w:line="300" w:lineRule="auto"/>
      <w:jc w:val="both"/>
    </w:pPr>
    <w:rPr>
      <w:snapToGrid w:val="0"/>
      <w:sz w:val="24"/>
      <w:lang w:val="hy-AM" w:eastAsia="hy-AM"/>
    </w:rPr>
  </w:style>
  <w:style w:type="character" w:customStyle="1" w:styleId="HeaderChar">
    <w:name w:val="Header Char"/>
    <w:basedOn w:val="DefaultParagraphFont"/>
    <w:link w:val="Header"/>
    <w:uiPriority w:val="99"/>
    <w:rsid w:val="00EE7B11"/>
    <w:rPr>
      <w:sz w:val="28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\SOG-G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SOG-GP</Template>
  <TotalTime>16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Соглашение ГП</vt:lpstr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https://mul2.gov.am/tasks/73765/oneclick/2. Hamadzainagir.docx?token=6a62fed51b7b6dcb5619d4f634fba5b8</cp:keywords>
  <cp:lastModifiedBy>user</cp:lastModifiedBy>
  <cp:revision>3</cp:revision>
  <dcterms:created xsi:type="dcterms:W3CDTF">2019-05-23T18:26:00Z</dcterms:created>
  <dcterms:modified xsi:type="dcterms:W3CDTF">2019-05-23T18:43:00Z</dcterms:modified>
</cp:coreProperties>
</file>