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3A" w:rsidRPr="00703A62" w:rsidRDefault="00F1623A" w:rsidP="0059596F">
      <w:pPr>
        <w:spacing w:line="240" w:lineRule="auto"/>
        <w:ind w:left="-1417" w:hanging="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  <w:r w:rsidRPr="00703A62">
        <w:rPr>
          <w:rFonts w:ascii="GHEA Grapalat" w:hAnsi="GHEA Grapalat"/>
          <w:b/>
          <w:color w:val="000000" w:themeColor="text1"/>
          <w:sz w:val="24"/>
          <w:szCs w:val="24"/>
        </w:rPr>
        <w:t>ԱՄՓՈՓԱԹԵՐԹ</w:t>
      </w:r>
    </w:p>
    <w:p w:rsidR="004D42AF" w:rsidRPr="00703A62" w:rsidRDefault="005E0870" w:rsidP="005E0870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Style w:val="Strong"/>
          <w:rFonts w:ascii="GHEA Grapalat" w:hAnsi="GHEA Grapalat" w:cs="Sylfaen"/>
          <w:color w:val="000000" w:themeColor="text1"/>
          <w:lang w:val="es-ES"/>
        </w:rPr>
      </w:pPr>
      <w:r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>&lt;&lt;</w:t>
      </w:r>
      <w:r w:rsidR="003423A0" w:rsidRPr="00703A62">
        <w:rPr>
          <w:rStyle w:val="Strong"/>
          <w:rFonts w:ascii="GHEA Grapalat" w:hAnsi="GHEA Grapalat" w:cs="Sylfaen"/>
          <w:color w:val="000000" w:themeColor="text1"/>
        </w:rPr>
        <w:t>ՔԱՂԱՔԱՅԻՆ</w:t>
      </w:r>
      <w:r w:rsidR="003423A0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3423A0" w:rsidRPr="00703A62">
        <w:rPr>
          <w:rStyle w:val="Strong"/>
          <w:rFonts w:ascii="GHEA Grapalat" w:hAnsi="GHEA Grapalat" w:cs="Sylfaen"/>
          <w:color w:val="000000" w:themeColor="text1"/>
        </w:rPr>
        <w:t>ԿԱՅՈՒՆ</w:t>
      </w:r>
      <w:r w:rsidR="003423A0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3423A0" w:rsidRPr="00703A62">
        <w:rPr>
          <w:rStyle w:val="Strong"/>
          <w:rFonts w:ascii="GHEA Grapalat" w:hAnsi="GHEA Grapalat" w:cs="Sylfaen"/>
          <w:color w:val="000000" w:themeColor="text1"/>
        </w:rPr>
        <w:t>ԶԱՐԳԱՑՄԱՆ</w:t>
      </w:r>
      <w:r w:rsidR="003423A0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3423A0" w:rsidRPr="00703A62">
        <w:rPr>
          <w:rStyle w:val="Strong"/>
          <w:rFonts w:ascii="GHEA Grapalat" w:hAnsi="GHEA Grapalat" w:cs="Sylfaen"/>
          <w:color w:val="000000" w:themeColor="text1"/>
        </w:rPr>
        <w:t>ՆԵՐԴՐՈՒՄԱՅԻՆ</w:t>
      </w:r>
      <w:r w:rsidR="003423A0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3423A0" w:rsidRPr="00703A62">
        <w:rPr>
          <w:rStyle w:val="Strong"/>
          <w:rFonts w:ascii="GHEA Grapalat" w:hAnsi="GHEA Grapalat" w:cs="Sylfaen"/>
          <w:color w:val="000000" w:themeColor="text1"/>
        </w:rPr>
        <w:t>ԾՐԱԳՐԻ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ՏՐԱՆՇ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-2 </w:t>
      </w:r>
      <w:r w:rsidR="003423A0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E077F9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>(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ԴԱՎԹԱՇԵՆ</w:t>
      </w:r>
      <w:r w:rsidR="003423A0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>-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ԱՇՏԱՐԱԿ</w:t>
      </w:r>
      <w:r w:rsidR="00E077F9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>)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3423A0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ՃԱՆԱՊԱՐՀԱՀԱՏՎԱԾՈՒՄ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ԱՌԿԱ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ՈՐՈՇ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ԳՈՒՅՔԵՐԻ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ԵՎ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ՀՈՂԱՏԱՐԱԾՔՆԵՐԻ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ՆԿԱՏՄԱՄԲ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ԲԱՑԱՌԻԿ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` 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ԳԵՐԱԿԱ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ՀԱՆՐԱՅԻՆ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4C7061" w:rsidRPr="00703A62">
        <w:rPr>
          <w:rStyle w:val="Strong"/>
          <w:rFonts w:ascii="GHEA Grapalat" w:hAnsi="GHEA Grapalat" w:cs="Sylfaen"/>
          <w:color w:val="000000" w:themeColor="text1"/>
        </w:rPr>
        <w:t>ՇԱՀ</w:t>
      </w:r>
      <w:r w:rsidR="004C7061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 ՃԱՆԱՉԵԼՈՒ </w:t>
      </w:r>
    </w:p>
    <w:p w:rsidR="004D42AF" w:rsidRPr="00703A62" w:rsidRDefault="004C7061" w:rsidP="005E0870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Style w:val="Strong"/>
          <w:rFonts w:ascii="GHEA Grapalat" w:hAnsi="GHEA Grapalat" w:cs="Sylfaen"/>
          <w:color w:val="000000" w:themeColor="text1"/>
          <w:lang w:val="es-ES"/>
        </w:rPr>
      </w:pPr>
      <w:r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>ՄԱՍԻՆ</w:t>
      </w:r>
      <w:r w:rsidR="003423A0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5E0870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>&gt;&gt;</w:t>
      </w:r>
      <w:r w:rsidR="003F61B0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 </w:t>
      </w:r>
      <w:r w:rsidR="005E0870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>ՀԱՅԱՍՏԱՆԻ ՀԱՆՐԱՊԵՏՈՒԹՅԱ</w:t>
      </w:r>
      <w:r w:rsidR="007C1FF5"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 xml:space="preserve">Ն ԿԱՌԱՎԱՐՈՒԹՅԱՆ </w:t>
      </w:r>
    </w:p>
    <w:p w:rsidR="00356114" w:rsidRPr="00703A62" w:rsidRDefault="007C1FF5" w:rsidP="005E0870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Fonts w:ascii="GHEA Grapalat" w:hAnsi="GHEA Grapalat"/>
          <w:b/>
          <w:color w:val="000000" w:themeColor="text1"/>
          <w:lang w:val="es-ES"/>
        </w:rPr>
      </w:pPr>
      <w:r w:rsidRPr="00703A62">
        <w:rPr>
          <w:rStyle w:val="Strong"/>
          <w:rFonts w:ascii="GHEA Grapalat" w:hAnsi="GHEA Grapalat" w:cs="Sylfaen"/>
          <w:color w:val="000000" w:themeColor="text1"/>
          <w:lang w:val="es-ES"/>
        </w:rPr>
        <w:t>ՈՐՈՇՄԱՆ ՆԱԽԱԳԻԾ</w:t>
      </w:r>
    </w:p>
    <w:p w:rsidR="00227D41" w:rsidRPr="00703A62" w:rsidRDefault="00227D41" w:rsidP="00DF5C44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Fonts w:ascii="GHEA Grapalat" w:hAnsi="GHEA Grapalat"/>
          <w:b/>
          <w:color w:val="000000" w:themeColor="text1"/>
          <w:lang w:val="es-ES"/>
        </w:rPr>
      </w:pPr>
    </w:p>
    <w:tbl>
      <w:tblPr>
        <w:tblW w:w="153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41"/>
        <w:gridCol w:w="5969"/>
        <w:gridCol w:w="2700"/>
        <w:gridCol w:w="2880"/>
      </w:tblGrid>
      <w:tr w:rsidR="00F1623A" w:rsidRPr="00703A62" w:rsidTr="00703A62">
        <w:trPr>
          <w:trHeight w:val="65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703A62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color w:val="000000" w:themeColor="text1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b/>
                <w:color w:val="000000" w:themeColor="text1"/>
                <w:szCs w:val="24"/>
                <w:lang w:val="hy-AM"/>
              </w:rPr>
              <w:t>Առարկության,</w:t>
            </w:r>
            <w:r w:rsidR="00DF5C44" w:rsidRPr="00703A62">
              <w:rPr>
                <w:rFonts w:ascii="GHEA Grapalat" w:hAnsi="GHEA Grapalat"/>
                <w:b/>
                <w:color w:val="000000" w:themeColor="text1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/>
                <w:b/>
                <w:color w:val="000000" w:themeColor="text1"/>
                <w:szCs w:val="24"/>
                <w:lang w:val="hy-AM"/>
              </w:rPr>
              <w:t>առաջարկության հեղինակը¸</w:t>
            </w:r>
          </w:p>
          <w:p w:rsidR="00F1623A" w:rsidRPr="00703A62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color w:val="000000" w:themeColor="text1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b/>
                <w:color w:val="000000" w:themeColor="text1"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703A62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color w:val="000000" w:themeColor="text1"/>
                <w:szCs w:val="24"/>
                <w:lang w:val="es-ES"/>
              </w:rPr>
            </w:pPr>
            <w:r w:rsidRPr="00703A62">
              <w:rPr>
                <w:rFonts w:ascii="GHEA Grapalat" w:hAnsi="GHEA Grapalat"/>
                <w:b/>
                <w:color w:val="000000" w:themeColor="text1"/>
                <w:szCs w:val="24"/>
              </w:rPr>
              <w:t>Առարկության</w:t>
            </w:r>
            <w:r w:rsidRPr="00703A62">
              <w:rPr>
                <w:rFonts w:ascii="GHEA Grapalat" w:hAnsi="GHEA Grapalat"/>
                <w:b/>
                <w:color w:val="000000" w:themeColor="text1"/>
                <w:szCs w:val="24"/>
                <w:lang w:val="es-ES"/>
              </w:rPr>
              <w:t xml:space="preserve">. </w:t>
            </w:r>
            <w:r w:rsidRPr="00703A62">
              <w:rPr>
                <w:rFonts w:ascii="GHEA Grapalat" w:hAnsi="GHEA Grapalat"/>
                <w:b/>
                <w:color w:val="000000" w:themeColor="text1"/>
                <w:szCs w:val="24"/>
              </w:rPr>
              <w:t>առաջարկության</w:t>
            </w:r>
            <w:r w:rsidRPr="00703A62">
              <w:rPr>
                <w:rFonts w:ascii="GHEA Grapalat" w:hAnsi="GHEA Grapalat"/>
                <w:b/>
                <w:color w:val="000000" w:themeColor="text1"/>
                <w:szCs w:val="24"/>
                <w:lang w:val="es-ES"/>
              </w:rPr>
              <w:t xml:space="preserve"> </w:t>
            </w:r>
            <w:r w:rsidRPr="00703A62">
              <w:rPr>
                <w:rFonts w:ascii="GHEA Grapalat" w:hAnsi="GHEA Grapalat"/>
                <w:b/>
                <w:color w:val="000000" w:themeColor="text1"/>
                <w:szCs w:val="24"/>
              </w:rPr>
              <w:t>բովանդակությունը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703A62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color w:val="000000" w:themeColor="text1"/>
                <w:szCs w:val="24"/>
              </w:rPr>
            </w:pPr>
            <w:r w:rsidRPr="00703A62">
              <w:rPr>
                <w:rFonts w:ascii="GHEA Grapalat" w:hAnsi="GHEA Grapalat"/>
                <w:b/>
                <w:color w:val="000000" w:themeColor="text1"/>
                <w:szCs w:val="24"/>
              </w:rPr>
              <w:t>Եզրակացությու</w:t>
            </w:r>
            <w:r w:rsidRPr="00703A62">
              <w:rPr>
                <w:rFonts w:ascii="GHEA Grapalat" w:hAnsi="GHEA Grapalat"/>
                <w:b/>
                <w:color w:val="000000" w:themeColor="text1"/>
                <w:szCs w:val="24"/>
                <w:lang w:val="hy-AM"/>
              </w:rPr>
              <w:t>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703A62" w:rsidRDefault="00F1623A">
            <w:pPr>
              <w:pStyle w:val="BodyText"/>
              <w:spacing w:line="276" w:lineRule="auto"/>
              <w:rPr>
                <w:rFonts w:ascii="GHEA Grapalat" w:hAnsi="GHEA Grapalat"/>
                <w:b/>
                <w:color w:val="000000" w:themeColor="text1"/>
                <w:szCs w:val="24"/>
              </w:rPr>
            </w:pPr>
            <w:r w:rsidRPr="00703A62">
              <w:rPr>
                <w:rFonts w:ascii="GHEA Grapalat" w:hAnsi="GHEA Grapalat"/>
                <w:b/>
                <w:color w:val="000000" w:themeColor="text1"/>
                <w:szCs w:val="24"/>
              </w:rPr>
              <w:t>Կատարված փոփոխությունները</w:t>
            </w:r>
          </w:p>
        </w:tc>
      </w:tr>
      <w:tr w:rsidR="00F1623A" w:rsidRPr="00703A62" w:rsidTr="00703A62">
        <w:trPr>
          <w:trHeight w:val="67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703A62" w:rsidRDefault="00F1623A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1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703A62" w:rsidRDefault="00F1623A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703A62" w:rsidRDefault="00F1623A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703A62" w:rsidRDefault="00F1623A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4</w:t>
            </w:r>
          </w:p>
        </w:tc>
      </w:tr>
      <w:tr w:rsidR="001F757F" w:rsidRPr="00703A62" w:rsidTr="00703A62">
        <w:trPr>
          <w:trHeight w:val="67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7F" w:rsidRPr="00703A62" w:rsidRDefault="001F757F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ՀՀ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էկոնոմիկայի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նախարարություն</w:t>
            </w:r>
          </w:p>
          <w:p w:rsidR="001F757F" w:rsidRPr="00703A62" w:rsidRDefault="001F757F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01/</w:t>
            </w:r>
            <w:r w:rsidR="00E077F9"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09.4/8421</w:t>
            </w:r>
            <w:r w:rsidR="00EF4561"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-15</w:t>
            </w:r>
          </w:p>
          <w:p w:rsidR="001F757F" w:rsidRPr="00703A62" w:rsidRDefault="00E077F9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23.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10</w:t>
            </w:r>
            <w:r w:rsidR="001F757F"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.15</w:t>
            </w:r>
            <w:r w:rsidR="001F757F" w:rsidRPr="00703A62">
              <w:rPr>
                <w:rFonts w:ascii="GHEA Grapalat" w:hAnsi="GHEA Grapalat"/>
                <w:color w:val="000000" w:themeColor="text1"/>
                <w:szCs w:val="24"/>
              </w:rPr>
              <w:t>թ</w:t>
            </w:r>
            <w:r w:rsidR="001F757F"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.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7F" w:rsidRPr="00703A62" w:rsidRDefault="002C002B" w:rsidP="00952FC2">
            <w:pPr>
              <w:pStyle w:val="BodyText"/>
              <w:spacing w:line="276" w:lineRule="auto"/>
              <w:ind w:left="720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Դիտողություններ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և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առաջարկություններ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չկան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7F" w:rsidRPr="00703A62" w:rsidRDefault="001F757F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7F" w:rsidRPr="00703A62" w:rsidRDefault="001F757F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694BA1" w:rsidRPr="00703A62" w:rsidTr="00703A62">
        <w:trPr>
          <w:trHeight w:val="67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1" w:rsidRPr="00703A62" w:rsidRDefault="003273C2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ՀՀ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կառավարության</w:t>
            </w:r>
            <w:r w:rsidR="00043305" w:rsidRPr="00703A62">
              <w:rPr>
                <w:rFonts w:ascii="GHEA Grapalat" w:hAnsi="GHEA Grapalat"/>
                <w:color w:val="000000" w:themeColor="text1"/>
                <w:szCs w:val="24"/>
              </w:rPr>
              <w:t>ն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առընթեր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անշարժ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գույքի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կադաստրի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պետական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կոմիտե</w:t>
            </w:r>
          </w:p>
          <w:p w:rsidR="004E76AF" w:rsidRPr="00703A62" w:rsidRDefault="004E76AF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ՄՍ/6710-15</w:t>
            </w:r>
          </w:p>
          <w:p w:rsidR="004E76AF" w:rsidRPr="00703A62" w:rsidRDefault="004E76AF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26.10.2015թ.</w:t>
            </w:r>
          </w:p>
          <w:p w:rsidR="003273C2" w:rsidRPr="00703A62" w:rsidRDefault="003273C2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1" w:rsidRPr="00703A62" w:rsidRDefault="004E76AF" w:rsidP="00170333">
            <w:pPr>
              <w:pStyle w:val="BodyText"/>
              <w:spacing w:line="276" w:lineRule="auto"/>
              <w:ind w:left="720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Դիտողություններ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և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առաջարկություններ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չկան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A1" w:rsidRPr="00703A62" w:rsidRDefault="00694BA1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A1" w:rsidRPr="00703A62" w:rsidRDefault="00694BA1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694BA1" w:rsidRPr="00703A62" w:rsidTr="00703A62">
        <w:trPr>
          <w:trHeight w:val="67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1" w:rsidRPr="00703A62" w:rsidRDefault="004A381D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ՀՀ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քաղաքաշինության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նախարարություն</w:t>
            </w:r>
          </w:p>
          <w:p w:rsidR="004A381D" w:rsidRPr="00703A62" w:rsidRDefault="004A381D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="00F45CFD" w:rsidRPr="00703A62">
              <w:rPr>
                <w:rFonts w:ascii="GHEA Grapalat" w:hAnsi="GHEA Grapalat"/>
                <w:color w:val="000000" w:themeColor="text1"/>
                <w:szCs w:val="24"/>
              </w:rPr>
              <w:t>01/11.2/6104-15</w:t>
            </w:r>
          </w:p>
          <w:p w:rsidR="00F45CFD" w:rsidRPr="00703A62" w:rsidRDefault="00F45CFD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23.10.15թ.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A1" w:rsidRPr="00703A62" w:rsidRDefault="002C0823" w:rsidP="001E2EC1">
            <w:pPr>
              <w:pStyle w:val="BodyText"/>
              <w:spacing w:line="276" w:lineRule="auto"/>
              <w:ind w:left="720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Առարկություններ և ա</w:t>
            </w:r>
            <w:r w:rsidR="000045E7" w:rsidRPr="00703A62">
              <w:rPr>
                <w:rFonts w:ascii="GHEA Grapalat" w:hAnsi="GHEA Grapalat"/>
                <w:color w:val="000000" w:themeColor="text1"/>
                <w:szCs w:val="24"/>
              </w:rPr>
              <w:t>ռաջարկություններ</w:t>
            </w:r>
            <w:r w:rsidR="000045E7"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="000045E7" w:rsidRPr="00703A62">
              <w:rPr>
                <w:rFonts w:ascii="GHEA Grapalat" w:hAnsi="GHEA Grapalat"/>
                <w:color w:val="000000" w:themeColor="text1"/>
                <w:szCs w:val="24"/>
              </w:rPr>
              <w:t>չկան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A1" w:rsidRPr="00703A62" w:rsidRDefault="00694BA1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A1" w:rsidRPr="00703A62" w:rsidRDefault="00694BA1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1F757F" w:rsidRPr="00703A62" w:rsidTr="00703A62">
        <w:trPr>
          <w:trHeight w:val="67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7F" w:rsidRPr="00703A62" w:rsidRDefault="00694BA1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ՀՀ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="00A513C1" w:rsidRPr="00703A62">
              <w:rPr>
                <w:rFonts w:ascii="GHEA Grapalat" w:hAnsi="GHEA Grapalat"/>
                <w:color w:val="000000" w:themeColor="text1"/>
                <w:szCs w:val="24"/>
              </w:rPr>
              <w:t>ֆինանսների</w:t>
            </w:r>
            <w:r w:rsidR="00A513C1"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="00A513C1" w:rsidRPr="00703A62">
              <w:rPr>
                <w:rFonts w:ascii="GHEA Grapalat" w:hAnsi="GHEA Grapalat"/>
                <w:color w:val="000000" w:themeColor="text1"/>
                <w:szCs w:val="24"/>
              </w:rPr>
              <w:t>նախարարություն</w:t>
            </w:r>
          </w:p>
          <w:p w:rsidR="005965F3" w:rsidRPr="00703A62" w:rsidRDefault="005965F3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01/82-6/32914-15</w:t>
            </w:r>
          </w:p>
          <w:p w:rsidR="005965F3" w:rsidRPr="00703A62" w:rsidRDefault="005965F3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30.10.15թ.</w:t>
            </w:r>
          </w:p>
          <w:p w:rsidR="00A513C1" w:rsidRPr="00703A62" w:rsidRDefault="00A513C1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2C" w:rsidRPr="00703A62" w:rsidRDefault="00E93B8E" w:rsidP="00703A62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lastRenderedPageBreak/>
              <w:t>«Հասարակայնության և պետության կարիքների համար սեփականության օտարման մասին» ՀՀ օրենքի 7–րդ հոդվածի 6–րդ մասի համաձայն</w:t>
            </w:r>
            <w:r w:rsidR="00F95E2C"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՝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 xml:space="preserve"> բացառիկ գերակա հանրային շահ ճանաչելու 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lastRenderedPageBreak/>
              <w:t>մասին կառավարության որոշումն ուժի մեջ մտնելուց հետո կառավարության սահմանված կարգով և ժամկետներում լիազոր մարմինը կազմում է օտարվող սեփականության նկարագրության անձանագրությունը, որին իրավունք ունեն մասնակցելու ձեռքբերողը, սեփականատերը և սեփականության նկատմամբ գույքային իրավունքներ ունեցողները, եթե սեփականության նախնական ուսումնասիրության ժամանակ արձանագրությունը չի կազմվել։ Ընդ որում, գերակա հանրային շահ ճանաչված տարածքների և դրանցում առկա սեփականության օբյեկտների նկարագրության արձանագրության կազմման աշխատանքներն իրականացվում են ՀՀ կառավարության 25.01.2007թ. Հ.108–Ն, ինչպես նաև 16.09.2010թ. Հ.1275–Ն որոշումներով սահմանված կարգով։Ելնելով վերոգրյալից և հաշվի առնելով, որ Օրենքի 7–րդ հոդվածի 2–րդ մասի համաձայն</w:t>
            </w:r>
            <w:r w:rsidR="00F95E2C"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՝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 xml:space="preserve"> բացառիկ՝ գերակա հանրային շահ ճանաչելու մասին կառավարության  որոշման մեջ նշվող պայմանների մեջ նախատեսված չէ օտարվող սեփականության նկարագրության արձանագրո</w:t>
            </w:r>
            <w:r w:rsidR="00EE6BC9"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ւթյան ձևը հաստատման ներկայացնել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ը, ավելին, վերոհիշյալ արձանագրության ձևերն արդեն իսկ հաստատված են ՀՀ կառավարության 25.01.2007թ. Հ.</w:t>
            </w:r>
            <w:r w:rsidR="00D8077C"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108–Ն, ինչպես նաև 16.09.2010թ. Հ1275–Ն որոշումներով, առաջարկվում է նախագծի 2–րդ կետը և համապատասխա</w:t>
            </w:r>
            <w:r w:rsidR="00EE6BC9"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նաբար կից</w:t>
            </w:r>
            <w:r w:rsidR="00703A62">
              <w:rPr>
                <w:rFonts w:ascii="GHEA Grapalat" w:hAnsi="GHEA Grapalat"/>
                <w:color w:val="000000" w:themeColor="text1"/>
                <w:szCs w:val="24"/>
              </w:rPr>
              <w:t xml:space="preserve"> </w:t>
            </w:r>
            <w:r w:rsidR="00EE6BC9"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 xml:space="preserve">Հ.3 հավելվածը </w:t>
            </w:r>
            <w:r w:rsidR="00EE6BC9"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lastRenderedPageBreak/>
              <w:t>հանել։</w:t>
            </w:r>
          </w:p>
          <w:p w:rsidR="001F757F" w:rsidRPr="00703A62" w:rsidRDefault="00D8077C" w:rsidP="00703A62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Միաժամանակ առաջարկվում է խմբագրել նախագծի 3–րդ կետի 4–րդ ենթակետը՝ նշելով կառավարության համապատասխան որոշումը, որով սահմանված կարգով և հաստատված օրինակելի ձևով իրականացվելու են օտարվող սեփականության նկարագրության արձանագրությունների կազմման աշխատանքները։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8D0" w:rsidRPr="00703A62" w:rsidRDefault="009B18D0" w:rsidP="00703A62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Չի ընդունվել, քանի որ ի տարբերության Հյուսիս–Հարավ ճանապարհային </w:t>
            </w: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միջանցքի ներդրումային ծրագրի, Երևանի կառուցապատման ներդրումային ծրագրի շրջանակներում առկա են </w:t>
            </w:r>
          </w:p>
          <w:p w:rsidR="009B18D0" w:rsidRPr="00703A62" w:rsidRDefault="009B18D0" w:rsidP="00703A62">
            <w:pPr>
              <w:pStyle w:val="CommentText"/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որոշակի տարբերություն</w:t>
            </w: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ներ՝ կապված օտարման ենթակա գույքերի առանձնահատկությունների</w:t>
            </w: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հետ։ Մասնավորապես՝ </w:t>
            </w:r>
          </w:p>
          <w:p w:rsidR="009B18D0" w:rsidRPr="00703A62" w:rsidRDefault="009B18D0" w:rsidP="00703A62">
            <w:pPr>
              <w:pStyle w:val="CommentText"/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ի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տարբերություն գյուղական համայնքների, որտեղ գույքերը հիմնականում գյուղատնտեսա կան նշանակության հողեր են և  հստակ հասցե չունեն, ուստի բավարար է լինում գույքը նույնականացնել միայն կադաստրային ծածկագրով, իսկ Երևանում մեկ ծածկագրի վրա կարող են լինել մեկից ավելի առանձնացված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գույքեր, որոնք ունեն տարբեր հասցեներ և սեփականատերեր: Այս պարագայում բացի ծածկագրից անհրաժեշտ է նաև  նշել գույքի հասցեն։</w:t>
            </w:r>
          </w:p>
          <w:p w:rsidR="009B18D0" w:rsidRPr="00703A62" w:rsidRDefault="009B18D0" w:rsidP="00703A62">
            <w:pPr>
              <w:pStyle w:val="CommentText"/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>Բացի այդ, Երևանի կառուցապատման ներդրումային ծրագրով ձեռնարկատիրա կան գործունեություն իրականացնողը  չէ, որ հանդիսանում է  նաև գույքի սեփականատերը,  բացի այդ շենք/շինության նկարագրության կարևոր բնութագրիչներից է միջհարկային ծածկը, որոնք  հիշատակված</w:t>
            </w:r>
          </w:p>
          <w:p w:rsidR="009B18D0" w:rsidRPr="00703A62" w:rsidRDefault="009B18D0" w:rsidP="00703A62">
            <w:pPr>
              <w:pStyle w:val="CommentText"/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որոշումներով հաստատված նկարագրության արձանագրության օրինակելի ձևերում սահմանված չեն։ </w:t>
            </w:r>
          </w:p>
          <w:p w:rsidR="001F757F" w:rsidRDefault="009B18D0" w:rsidP="00703A62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Ոչ բոլոր ինքնակամ շինություններն են ընդգրկված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սեփականության վկայականում, հետևաբար շինության ծածկագիր չունեն:Այդ իսկ պատճառով կատարվել է համապատասխան նշում։</w:t>
            </w:r>
          </w:p>
          <w:p w:rsidR="00703A62" w:rsidRPr="00703A62" w:rsidRDefault="00703A62" w:rsidP="00703A62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7F" w:rsidRPr="00703A62" w:rsidRDefault="001F757F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C65C1E" w:rsidRPr="00703A62" w:rsidTr="00703A62">
        <w:trPr>
          <w:trHeight w:val="67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3D" w:rsidRPr="00703A62" w:rsidRDefault="00C65C1E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lastRenderedPageBreak/>
              <w:t>ՀՀ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="0069363D" w:rsidRPr="00703A62">
              <w:rPr>
                <w:rFonts w:ascii="GHEA Grapalat" w:hAnsi="GHEA Grapalat"/>
                <w:color w:val="000000" w:themeColor="text1"/>
                <w:szCs w:val="24"/>
              </w:rPr>
              <w:t>բնապահպանության</w:t>
            </w:r>
            <w:r w:rsidR="0069363D"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="0069363D" w:rsidRPr="00703A62">
              <w:rPr>
                <w:rFonts w:ascii="GHEA Grapalat" w:hAnsi="GHEA Grapalat"/>
                <w:color w:val="000000" w:themeColor="text1"/>
                <w:szCs w:val="24"/>
              </w:rPr>
              <w:t>նախարարություն</w:t>
            </w:r>
          </w:p>
          <w:p w:rsidR="00C65C1E" w:rsidRPr="00703A62" w:rsidRDefault="00F45CFD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1/04.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3/12273</w:t>
            </w:r>
            <w:r w:rsidR="00C65C1E"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CC" w:rsidRPr="00703A62" w:rsidRDefault="00F45CFD" w:rsidP="002221DB">
            <w:pPr>
              <w:pStyle w:val="BodyText"/>
              <w:spacing w:line="276" w:lineRule="auto"/>
              <w:ind w:left="720"/>
              <w:jc w:val="left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Առարկություններ և առաջարկություններ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չկան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1E" w:rsidRPr="00703A62" w:rsidRDefault="00C65C1E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1E" w:rsidRPr="00703A62" w:rsidRDefault="00C65C1E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1A314C" w:rsidRPr="00703A62" w:rsidTr="00703A62">
        <w:trPr>
          <w:trHeight w:val="67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55" w:rsidRPr="00703A62" w:rsidRDefault="00272255" w:rsidP="00272255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ՀՀ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տարածքային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կառավարման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և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արտակարգ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իրավիճակների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նախարարություն</w:t>
            </w:r>
          </w:p>
          <w:p w:rsidR="004D72E3" w:rsidRPr="00703A62" w:rsidRDefault="00272255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1/33.1/</w:t>
            </w:r>
            <w:r w:rsidR="00F45CFD"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15583-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15</w:t>
            </w:r>
          </w:p>
          <w:p w:rsidR="00272255" w:rsidRPr="00703A62" w:rsidRDefault="00F45CFD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23.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10</w:t>
            </w:r>
            <w:r w:rsidR="00272255"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>.15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թ.</w:t>
            </w:r>
          </w:p>
          <w:p w:rsidR="004D72E3" w:rsidRPr="00703A62" w:rsidRDefault="004D72E3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</w:p>
          <w:p w:rsidR="004D72E3" w:rsidRPr="00703A62" w:rsidRDefault="004D72E3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4C" w:rsidRPr="00703A62" w:rsidRDefault="004E76AF" w:rsidP="00CF3ACC">
            <w:pPr>
              <w:pStyle w:val="BodyText"/>
              <w:spacing w:line="276" w:lineRule="auto"/>
              <w:ind w:left="720"/>
              <w:jc w:val="left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Առարկություններ և առաջարկություններ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չկան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4C" w:rsidRPr="00703A62" w:rsidRDefault="001A314C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4C" w:rsidRPr="00703A62" w:rsidRDefault="001A314C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F1623A" w:rsidRPr="00703A62" w:rsidTr="00703A62">
        <w:trPr>
          <w:trHeight w:val="67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6" w:rsidRPr="00703A62" w:rsidRDefault="0092260B" w:rsidP="0092260B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ru-RU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ՀՀ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="00561481" w:rsidRPr="00703A62">
              <w:rPr>
                <w:rFonts w:ascii="GHEA Grapalat" w:hAnsi="GHEA Grapalat"/>
                <w:color w:val="000000" w:themeColor="text1"/>
                <w:szCs w:val="24"/>
              </w:rPr>
              <w:t>արդարադատության</w:t>
            </w:r>
            <w:r w:rsidRPr="00703A62">
              <w:rPr>
                <w:rFonts w:ascii="GHEA Grapalat" w:hAnsi="GHEA Grapalat"/>
                <w:color w:val="000000" w:themeColor="text1"/>
                <w:szCs w:val="24"/>
                <w:lang w:val="ru-RU"/>
              </w:rPr>
              <w:t xml:space="preserve"> </w:t>
            </w:r>
            <w:r w:rsidRPr="00703A62">
              <w:rPr>
                <w:rFonts w:ascii="GHEA Grapalat" w:hAnsi="GHEA Grapalat"/>
                <w:color w:val="000000" w:themeColor="text1"/>
                <w:szCs w:val="24"/>
              </w:rPr>
              <w:t>նախարարություն</w:t>
            </w:r>
          </w:p>
          <w:p w:rsidR="0092260B" w:rsidRPr="00703A62" w:rsidRDefault="00461DAA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02/14/13900-15</w:t>
            </w:r>
          </w:p>
          <w:p w:rsidR="00461DAA" w:rsidRPr="00703A62" w:rsidRDefault="00461DAA" w:rsidP="0069363D">
            <w:pPr>
              <w:pStyle w:val="BodyText"/>
              <w:spacing w:line="276" w:lineRule="auto"/>
              <w:rPr>
                <w:rFonts w:ascii="GHEA Grapalat" w:hAnsi="GHEA Grapalat"/>
                <w:color w:val="000000" w:themeColor="text1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11.11.2015թ.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AA" w:rsidRPr="00703A62" w:rsidRDefault="00461DAA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1. Որոշման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/այսուհետ՝ նախագիծ/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համապատասխանում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Սահմանադրության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703A62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461DAA" w:rsidRPr="00703A62" w:rsidRDefault="00461DAA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ախագիծը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չի համապատասխանում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հավասար և ավելի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</w:t>
            </w:r>
            <w:r w:rsidRPr="00703A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ուժ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այլ ակտերի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դրույթներին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Այսպես՝ </w:t>
            </w:r>
          </w:p>
          <w:p w:rsidR="00461DAA" w:rsidRPr="00703A62" w:rsidRDefault="00461DAA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1)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համաձայն «Հասարակության և պետության կարիքների համար սեփականության օտարման մասին» ՀՀ օրենքի 4-րդ հոդվածի 1-ին մասի «բ» կետի, գերակա հանրային շահի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արդյունավետ օգտագործումը չի կարող ապահովվել առանց տվյալ սեփականության օտարման, իսկ «գ» կետով սահմանվում է, որ գերակա հանրային շահից ելնելով՝ սեփականության օտարումը չպետք է չհիմնավորված վնաս պատճառի սեփականատիրոջը, մինչդեռ ներկայացված նախագծի 1-ին կետի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>ենթակետ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և նախագծին կից ներկայացված հիմնավորման համաձայն՝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հյուսիս-հարավ, արևելք-արևմուտք ուղիղ մայրուղային տրանսպորտային կապը </w:t>
            </w:r>
            <w:r w:rsidRPr="00703A6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չի կարող ապահովվել` առանց</w:t>
            </w:r>
            <w:r w:rsidRPr="00703A6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սույն որոշման հավելվածներում նշված</w:t>
            </w:r>
            <w:r w:rsidRPr="00703A6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տարածքների</w:t>
            </w:r>
            <w:r w:rsidRPr="00703A6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օտարման</w:t>
            </w:r>
            <w:r w:rsidRPr="00703A6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,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>քանի</w:t>
            </w:r>
            <w:r w:rsidRPr="00703A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703A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հողամասերի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ընտրությունը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է հաշվի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առնելով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>, որ դրանք Երևան քաղաքի գլխավոր հատակագծով նախատեսված Երևանի կենտրոնն արևմուտքից և արևելքից շրջանցող արագընթաց ճանապարհների բաղկացուցիչ մասերն են կազմում:</w:t>
            </w:r>
          </w:p>
          <w:p w:rsidR="00461DAA" w:rsidRPr="00703A62" w:rsidRDefault="00461DAA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Այդ կապակցությամբ նախագծում և հիմնավորման մեջ անհրաժեշտ է նշել բոլոր այն օբյեկտիվ հիմքերը, որոնց պայմաններում </w:t>
            </w:r>
            <w:r w:rsidRPr="00703A62">
              <w:rPr>
                <w:rFonts w:ascii="GHEA Grapalat" w:hAnsi="GHEA Grapalat" w:cs="GHEA Grapalat"/>
                <w:sz w:val="24"/>
                <w:szCs w:val="24"/>
                <w:lang w:val="af-ZA"/>
              </w:rPr>
              <w:t>ծ</w:t>
            </w:r>
            <w:r w:rsidRPr="00703A62">
              <w:rPr>
                <w:rFonts w:ascii="GHEA Grapalat" w:hAnsi="GHEA Grapalat" w:cs="GHEA Grapalat"/>
                <w:sz w:val="24"/>
                <w:szCs w:val="24"/>
                <w:lang w:val="hy-AM"/>
              </w:rPr>
              <w:t>րագրի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արդյունավետ իրականացումը</w:t>
            </w:r>
            <w:r w:rsidRPr="00703A6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հնարավոր</w:t>
            </w:r>
            <w:r w:rsidRPr="00703A6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չէ առանց նշված սեփականությունն օտարելու: Այդ առումով անհրաժեշտ է նախագծի հիշյալ կետը և հիմնավորումը լրամշակել և համապատասխանեցնել հիշյալ օրենքի 4-րդ հոդվածի 1-ին կետում նշված սկզբունքներին:</w:t>
            </w:r>
          </w:p>
          <w:p w:rsidR="009B18D0" w:rsidRDefault="009B18D0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</w:p>
          <w:p w:rsidR="00703A62" w:rsidRDefault="00703A62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</w:p>
          <w:p w:rsidR="00703A62" w:rsidRDefault="00703A62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</w:p>
          <w:p w:rsidR="00703A62" w:rsidRDefault="00703A62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</w:p>
          <w:p w:rsidR="00703A62" w:rsidRDefault="00703A62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</w:p>
          <w:p w:rsidR="00703A62" w:rsidRPr="00703A62" w:rsidRDefault="00703A62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</w:p>
          <w:p w:rsidR="00461DAA" w:rsidRPr="00703A62" w:rsidRDefault="00461DAA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2)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>Ն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ախագիծը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չի համապատասխանում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հավասար իրավաբանական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ուժ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այլ ակտերի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դրույթներին, մասնավորապես՝ նախագծի 2-րդ կետով հաստատվում է քաղաքային կայուն զարգացման ներդրումային ծրագրի շրջանակներում հասարակության և պետության կարիքների համար օտարվող սեփականության (հողամասի, շենքերի, շինությունների և առկա բարելավումների) նկարագրության արձանագրության ձևը, սակայն ՀՀ կառավարության 2007 թվականի հունվարի 25-ի N 108-Ն և ՀՀ կառավարության 2010 թվականի սեպտեմբերի 16-ի N 1275-Ն որոշումներով արդեն իսկ սահմանված են այդ ձևերը: Հաշվի առնելով վերոգրյալը՝ նախագծից անհրաժեշտ է հանել 2-րդ կետն ու դրանով հաստատվող հավելված 3-ը:</w:t>
            </w:r>
          </w:p>
          <w:p w:rsidR="00461DAA" w:rsidRDefault="00461DAA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Բացի այդ, նախագծի 3-րդ կետի 4-րդ ենթակետում «սույն որոշման 2-րդ կետով սահմանված նկարագրության արձանագրության օրինակելի ձևերով» բառերն անհրաժեշտ է փոխարինել «ՀՀ կառավարության 2007 թվականի հունվարի 25-ի N 108-Ն և ՀՀ կառավարության 2010 թվականի սեպտեմբերի 16-ի N 1275-Ն որոշումներով սահմանված կարգով և հաստատված նկարագրության արձանագրության օրինակելի ձևով» բառերով:  </w:t>
            </w:r>
          </w:p>
          <w:p w:rsidR="00703A62" w:rsidRPr="00703A62" w:rsidRDefault="00703A62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</w:p>
          <w:p w:rsidR="00461DAA" w:rsidRDefault="00461DAA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3.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Նախագծում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այլ ակտերի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անհարկի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կրկնություններ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առկա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չեն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703A62" w:rsidRPr="00703A62" w:rsidRDefault="00703A62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61DAA" w:rsidRPr="00703A62" w:rsidRDefault="00461DAA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4. Ն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ախագծում անհրաժեշտ բոլոր հարցերը կարգավորված են: </w:t>
            </w:r>
          </w:p>
          <w:p w:rsidR="00461DAA" w:rsidRDefault="00461DAA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5.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703A62">
              <w:rPr>
                <w:rFonts w:ascii="GHEA Grapalat" w:hAnsi="GHEA Grapalat"/>
                <w:sz w:val="24"/>
                <w:szCs w:val="24"/>
                <w:lang w:val="af-ZA"/>
              </w:rPr>
              <w:t>ախագիծն իր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մեջ</w:t>
            </w:r>
            <w:r w:rsidRPr="00703A62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2009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թվականի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հոկտեմբերի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22-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«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Նորմատիվ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ակտերի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նախագծերի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հակակոռուպցիոն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բնագավառում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կարգավորման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ազդեցության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գնահատման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իրականացման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կարգը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հաստատելու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»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թիվ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1205-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որոշմամբ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հաստատված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կարգի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9-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կետով նախատեսված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որևէ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կոռուպցիոն</w:t>
            </w:r>
            <w:r w:rsidRPr="00703A62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03A6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գործոն չի պարունակում:</w:t>
            </w:r>
          </w:p>
          <w:p w:rsidR="00703A62" w:rsidRPr="00703A62" w:rsidRDefault="00703A62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  <w:p w:rsidR="00461DAA" w:rsidRDefault="00461DAA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Օրենսդրական տեխնիկայի կանոնները պահպանված են: </w:t>
            </w:r>
          </w:p>
          <w:p w:rsidR="00703A62" w:rsidRPr="00703A62" w:rsidRDefault="00703A62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461DAA" w:rsidRPr="00703A62" w:rsidRDefault="00461DAA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 w:cs="Sylfaen"/>
                <w:sz w:val="24"/>
                <w:szCs w:val="24"/>
                <w:lang w:val="hy-AM"/>
              </w:rPr>
              <w:t>7. Նախագիծն անհրաժեշտ է համապատասխանեցնել սույն եզրակացության 2-րդ կետին:</w:t>
            </w:r>
          </w:p>
          <w:p w:rsidR="00461DAA" w:rsidRPr="00703A62" w:rsidRDefault="00461DAA" w:rsidP="00461DAA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92FDD" w:rsidRPr="00703A62" w:rsidRDefault="00192FDD" w:rsidP="00CF3ACC">
            <w:pPr>
              <w:pStyle w:val="BodyText"/>
              <w:spacing w:line="276" w:lineRule="auto"/>
              <w:jc w:val="left"/>
              <w:rPr>
                <w:rFonts w:ascii="GHEA Grapalat" w:hAnsi="GHEA Grapalat"/>
                <w:color w:val="000000" w:themeColor="text1"/>
                <w:szCs w:val="24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703A62" w:rsidRDefault="00F1623A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D75C0" w:rsidRPr="00703A62" w:rsidRDefault="002D75C0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D75C0" w:rsidRPr="00703A62" w:rsidRDefault="002D75C0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703A62" w:rsidRDefault="00703A62" w:rsidP="00703A62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03A62" w:rsidRDefault="00703A62" w:rsidP="00703A62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03A62" w:rsidRDefault="00703A62" w:rsidP="00703A62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03A62" w:rsidRDefault="00703A62" w:rsidP="00703A62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03A62" w:rsidRDefault="00703A62" w:rsidP="00703A62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03A62" w:rsidRDefault="00703A62" w:rsidP="00703A62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03A62" w:rsidRDefault="00703A62" w:rsidP="00703A62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BC3F98" w:rsidRPr="00703A62" w:rsidRDefault="002D75C0" w:rsidP="00703A62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lastRenderedPageBreak/>
              <w:t>Ընդունվել է մասնակի, քանի որ որոշման նախագծի 1–ին կետի 1–ին ենթակետում նշված են այն օբյեկտիվ հիմքերը, որոնց պայմաններում ծրագրի իրականացումը հնարավոր չէ՝ առանց նշված տարածքներում առկա սեփականության օտարման։</w:t>
            </w:r>
          </w:p>
          <w:p w:rsidR="00BC3F98" w:rsidRPr="00703A62" w:rsidRDefault="00FC0A27" w:rsidP="00703A62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Տեղեկանք–հիմնավորումը լրամշակվել է</w:t>
            </w: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BC3F98" w:rsidRPr="00703A62" w:rsidRDefault="00BC3F98" w:rsidP="002D75C0">
            <w:pPr>
              <w:spacing w:after="0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BC3F98" w:rsidRPr="00703A62" w:rsidRDefault="00BC3F98" w:rsidP="002D75C0">
            <w:pPr>
              <w:spacing w:after="0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BC3F98" w:rsidRPr="00703A62" w:rsidRDefault="00BC3F98" w:rsidP="002D75C0">
            <w:pPr>
              <w:spacing w:after="0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BC3F98" w:rsidRPr="00703A62" w:rsidRDefault="00BC3F98" w:rsidP="002D75C0">
            <w:pPr>
              <w:spacing w:after="0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BC3F98" w:rsidRPr="00703A62" w:rsidRDefault="00BC3F98" w:rsidP="002D75C0">
            <w:pPr>
              <w:spacing w:after="0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BC3F98" w:rsidRPr="00703A62" w:rsidRDefault="00BC3F98" w:rsidP="002D75C0">
            <w:pPr>
              <w:spacing w:after="0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BC3F98" w:rsidRPr="00703A62" w:rsidRDefault="00BC3F98" w:rsidP="002D75C0">
            <w:pPr>
              <w:spacing w:after="0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BC3F98" w:rsidRPr="00703A62" w:rsidRDefault="00BC3F98" w:rsidP="002D75C0">
            <w:pPr>
              <w:spacing w:after="0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BC3F98" w:rsidRPr="00703A62" w:rsidRDefault="00BC3F98" w:rsidP="002D75C0">
            <w:pPr>
              <w:spacing w:after="0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BC3F98" w:rsidRPr="00703A62" w:rsidRDefault="00BC3F98" w:rsidP="002D75C0">
            <w:pPr>
              <w:spacing w:after="0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BC3F98" w:rsidRPr="00703A62" w:rsidRDefault="00BC3F98" w:rsidP="002D75C0">
            <w:pPr>
              <w:spacing w:after="0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F22B5" w:rsidRPr="00703A62" w:rsidRDefault="002F22B5" w:rsidP="002D75C0">
            <w:pPr>
              <w:spacing w:after="0"/>
              <w:jc w:val="center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BC3F98" w:rsidRPr="00703A62" w:rsidRDefault="00BC3F98" w:rsidP="00703A62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Չի ընդունվել, քանի որ ի տարբերության Հյուսիս–Հարավ ճանապարհային միջանցքի ներդրումային ծրագրի, Երևանի կառուցապատման ներդրումային ծրագրի շրջանակներում առկա են </w:t>
            </w:r>
          </w:p>
          <w:p w:rsidR="0015098E" w:rsidRPr="00703A62" w:rsidRDefault="00BC3F98" w:rsidP="00FC0A27">
            <w:pPr>
              <w:pStyle w:val="CommentText"/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որոշակի տարբերություններ՝ կապված օտարման ենթակա գույքերի առանձնահատկությունների</w:t>
            </w:r>
            <w:r w:rsidR="00FC0A27"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0A27"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հետ</w:t>
            </w: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։ Մասնավորապես՝ </w:t>
            </w:r>
          </w:p>
          <w:p w:rsidR="00BC3F98" w:rsidRPr="00703A62" w:rsidRDefault="00BC3F98" w:rsidP="00FC0A27">
            <w:pPr>
              <w:pStyle w:val="CommentText"/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  <w:t>ի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տարբերություն գյուղական համայնքների, որտեղ գույքերը հիմնականում գյուղատնտեսա</w:t>
            </w:r>
            <w:r w:rsidR="00FC0A27"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 նշանակության հողեր են և  հստակ հասցե չունեն, ուստի բավարար է լինում գույքը </w:t>
            </w:r>
            <w:r w:rsidR="00FC0A27" w:rsidRPr="00703A62">
              <w:rPr>
                <w:rFonts w:ascii="GHEA Grapalat" w:hAnsi="GHEA Grapalat"/>
                <w:sz w:val="24"/>
                <w:szCs w:val="24"/>
                <w:lang w:val="hy-AM"/>
              </w:rPr>
              <w:t>նույնականացնել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միայն կադաստրային ծածկագրով</w:t>
            </w:r>
            <w:r w:rsidR="00FC0A27" w:rsidRPr="00703A62">
              <w:rPr>
                <w:rFonts w:ascii="GHEA Grapalat" w:hAnsi="GHEA Grapalat"/>
                <w:sz w:val="24"/>
                <w:szCs w:val="24"/>
                <w:lang w:val="hy-AM"/>
              </w:rPr>
              <w:t>, ի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>սկ Երևանում մեկ ծածկագրի վրա կարող</w:t>
            </w:r>
            <w:r w:rsidR="0015098E"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են լինել մեկից ավելի առանձնացված գույքեր, որոնք ունեն տարբեր հասցեներ և սեփականատերեր: Այս պարագայում բացի ծածկագրից </w:t>
            </w:r>
            <w:r w:rsidR="009B1455"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անհրաժեշտ է նաև </w:t>
            </w:r>
            <w:r w:rsidR="00FC0A27"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նշել </w:t>
            </w:r>
            <w:r w:rsidR="009B1455" w:rsidRPr="00703A62">
              <w:rPr>
                <w:rFonts w:ascii="GHEA Grapalat" w:hAnsi="GHEA Grapalat"/>
                <w:sz w:val="24"/>
                <w:szCs w:val="24"/>
                <w:lang w:val="hy-AM"/>
              </w:rPr>
              <w:t>գույքի հասցեն։</w:t>
            </w:r>
          </w:p>
          <w:p w:rsidR="009B18D0" w:rsidRPr="00703A62" w:rsidRDefault="009B1455" w:rsidP="009B18D0">
            <w:pPr>
              <w:pStyle w:val="CommentText"/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Բացի այդ, Երևանի կառուցապատման </w:t>
            </w:r>
            <w:r w:rsidR="0015098E"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ներդրումային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>ծրագրով ձեռնարկատիրա</w:t>
            </w:r>
            <w:r w:rsidR="00FC0A27"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>կան գործունեությ</w:t>
            </w:r>
            <w:r w:rsidR="009B18D0" w:rsidRPr="00703A62">
              <w:rPr>
                <w:rFonts w:ascii="GHEA Grapalat" w:hAnsi="GHEA Grapalat"/>
                <w:sz w:val="24"/>
                <w:szCs w:val="24"/>
                <w:lang w:val="hy-AM"/>
              </w:rPr>
              <w:t>ուն իրականացնողը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18D0" w:rsidRPr="00703A62">
              <w:rPr>
                <w:rFonts w:ascii="GHEA Grapalat" w:hAnsi="GHEA Grapalat"/>
                <w:sz w:val="24"/>
                <w:szCs w:val="24"/>
                <w:lang w:val="hy-AM"/>
              </w:rPr>
              <w:t>մտ չէ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 </w:t>
            </w:r>
            <w:r w:rsidR="009B18D0"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հանդիսանում է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նաև գույքի սեփականատերը</w:t>
            </w:r>
            <w:r w:rsidR="009B18D0" w:rsidRPr="00703A6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18D0"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բացի այդ շենք/շինության նկարագրության կարևոր բնութագրիչներից է միջհարկային ծածկը, որոնք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18D0"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հիշատակված</w:t>
            </w:r>
          </w:p>
          <w:p w:rsidR="009B1455" w:rsidRPr="00703A62" w:rsidRDefault="009B18D0" w:rsidP="009B18D0">
            <w:pPr>
              <w:pStyle w:val="CommentText"/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որոշումներով հաստատված նկարագրության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արձանագրության օրինակելի ձևերում սահմանված չեն։</w:t>
            </w:r>
            <w:r w:rsidR="009B1455"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BC3F98" w:rsidRPr="00703A62" w:rsidRDefault="00E71431" w:rsidP="009B18D0">
            <w:pPr>
              <w:pStyle w:val="Comment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Ոչ բոլոր ինքնակամ շինություններն են ընդգրկված </w:t>
            </w:r>
            <w:r w:rsidR="0015098E"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սեփականության </w:t>
            </w:r>
            <w:r w:rsidRPr="00703A6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վկայականում, հետևաբար շինության ծածկագիր չունեն:Այդ իսկ պատճառով կատարվել է համապատասխան նշում։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3A" w:rsidRPr="00703A62" w:rsidRDefault="00F1623A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D75C0" w:rsidRPr="00703A62" w:rsidRDefault="002D75C0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D75C0" w:rsidRPr="00703A62" w:rsidRDefault="002D75C0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D75C0" w:rsidRPr="00703A62" w:rsidRDefault="002D75C0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D75C0" w:rsidRPr="00703A62" w:rsidRDefault="002D75C0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D75C0" w:rsidRPr="00703A62" w:rsidRDefault="002D75C0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D75C0" w:rsidRPr="00703A62" w:rsidRDefault="002D75C0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D75C0" w:rsidRPr="00703A62" w:rsidRDefault="002D75C0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D75C0" w:rsidRPr="00703A62" w:rsidRDefault="002D75C0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D75C0" w:rsidRPr="00703A62" w:rsidRDefault="002D75C0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  <w:p w:rsidR="002D75C0" w:rsidRPr="00703A62" w:rsidRDefault="002D75C0" w:rsidP="002D75C0">
            <w:pPr>
              <w:spacing w:after="0"/>
              <w:rPr>
                <w:rFonts w:ascii="GHEA Grapalat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</w:tbl>
    <w:p w:rsidR="00042A11" w:rsidRPr="00703A62" w:rsidRDefault="00042A11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AF15B4" w:rsidRPr="00703A62" w:rsidRDefault="00AF15B4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</w:pPr>
    </w:p>
    <w:p w:rsidR="002F22B5" w:rsidRPr="00703A62" w:rsidRDefault="002F22B5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</w:pPr>
    </w:p>
    <w:p w:rsidR="002F22B5" w:rsidRPr="00703A62" w:rsidRDefault="002F22B5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</w:pPr>
    </w:p>
    <w:p w:rsidR="002F22B5" w:rsidRPr="00703A62" w:rsidRDefault="002F22B5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</w:pPr>
    </w:p>
    <w:p w:rsidR="00F1623A" w:rsidRPr="00703A62" w:rsidRDefault="00703A62" w:rsidP="00DF5C44">
      <w:pPr>
        <w:spacing w:after="0" w:line="240" w:lineRule="auto"/>
        <w:ind w:left="-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                                            </w:t>
      </w:r>
      <w:r w:rsidR="00F1623A" w:rsidRPr="00703A6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ԵՐԵՎԱՆԻ ՔԱՂԱՔԱՊԵՏ                   </w:t>
      </w:r>
      <w:r w:rsidR="00DF5C44" w:rsidRPr="00703A6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1623A" w:rsidRPr="00703A6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           </w:t>
      </w:r>
      <w:r w:rsidR="00AF15B4" w:rsidRPr="00703A6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   </w:t>
      </w:r>
      <w:r w:rsidR="00F1623A" w:rsidRPr="00703A6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   </w:t>
      </w:r>
      <w:r w:rsidR="002F22B5" w:rsidRPr="00703A62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          </w:t>
      </w:r>
      <w:r w:rsidR="00F1623A" w:rsidRPr="00703A6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Տ. ՄԱՐԳԱՐՅԱՆ </w:t>
      </w:r>
    </w:p>
    <w:p w:rsidR="00D30972" w:rsidRPr="00703A62" w:rsidRDefault="00D30972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D30972" w:rsidRPr="00703A62" w:rsidSect="00703A62">
      <w:pgSz w:w="16838" w:h="11906" w:orient="landscape"/>
      <w:pgMar w:top="450" w:right="540" w:bottom="566" w:left="4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258F"/>
    <w:multiLevelType w:val="hybridMultilevel"/>
    <w:tmpl w:val="7E786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39EE"/>
    <w:multiLevelType w:val="hybridMultilevel"/>
    <w:tmpl w:val="1BB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C1092"/>
    <w:multiLevelType w:val="hybridMultilevel"/>
    <w:tmpl w:val="2F6C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63982"/>
    <w:multiLevelType w:val="hybridMultilevel"/>
    <w:tmpl w:val="64C42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8000A"/>
    <w:multiLevelType w:val="hybridMultilevel"/>
    <w:tmpl w:val="560A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5548C"/>
    <w:multiLevelType w:val="hybridMultilevel"/>
    <w:tmpl w:val="5DC0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C1610"/>
    <w:multiLevelType w:val="hybridMultilevel"/>
    <w:tmpl w:val="A552E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57A20"/>
    <w:multiLevelType w:val="hybridMultilevel"/>
    <w:tmpl w:val="B74ECDC2"/>
    <w:lvl w:ilvl="0" w:tplc="3C0E3EC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9B1602D"/>
    <w:multiLevelType w:val="hybridMultilevel"/>
    <w:tmpl w:val="E932BA2A"/>
    <w:lvl w:ilvl="0" w:tplc="747E77E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1623A"/>
    <w:rsid w:val="00002397"/>
    <w:rsid w:val="000045E7"/>
    <w:rsid w:val="00017B3F"/>
    <w:rsid w:val="00023EE6"/>
    <w:rsid w:val="00031A53"/>
    <w:rsid w:val="00042A11"/>
    <w:rsid w:val="00043305"/>
    <w:rsid w:val="00051BBC"/>
    <w:rsid w:val="0005236D"/>
    <w:rsid w:val="00052AE3"/>
    <w:rsid w:val="00056C76"/>
    <w:rsid w:val="000715E0"/>
    <w:rsid w:val="0008705F"/>
    <w:rsid w:val="000A2818"/>
    <w:rsid w:val="000A3B43"/>
    <w:rsid w:val="000B43E6"/>
    <w:rsid w:val="000B44C2"/>
    <w:rsid w:val="000C0E71"/>
    <w:rsid w:val="000C56F8"/>
    <w:rsid w:val="000E03A7"/>
    <w:rsid w:val="000E19BC"/>
    <w:rsid w:val="000E3B1A"/>
    <w:rsid w:val="00101220"/>
    <w:rsid w:val="00107830"/>
    <w:rsid w:val="0011249A"/>
    <w:rsid w:val="00122ECE"/>
    <w:rsid w:val="001257A4"/>
    <w:rsid w:val="00133541"/>
    <w:rsid w:val="00134F7B"/>
    <w:rsid w:val="00137190"/>
    <w:rsid w:val="00142AB4"/>
    <w:rsid w:val="0015098E"/>
    <w:rsid w:val="001572C0"/>
    <w:rsid w:val="0016708E"/>
    <w:rsid w:val="00167194"/>
    <w:rsid w:val="00170333"/>
    <w:rsid w:val="00174E63"/>
    <w:rsid w:val="00176309"/>
    <w:rsid w:val="00192FDD"/>
    <w:rsid w:val="001936F4"/>
    <w:rsid w:val="0019515E"/>
    <w:rsid w:val="001A222B"/>
    <w:rsid w:val="001A314C"/>
    <w:rsid w:val="001C1178"/>
    <w:rsid w:val="001C63A4"/>
    <w:rsid w:val="001D20E4"/>
    <w:rsid w:val="001D4E6B"/>
    <w:rsid w:val="001E2EC1"/>
    <w:rsid w:val="001E5540"/>
    <w:rsid w:val="001F316E"/>
    <w:rsid w:val="001F6E0A"/>
    <w:rsid w:val="001F757F"/>
    <w:rsid w:val="00204DE8"/>
    <w:rsid w:val="0022088D"/>
    <w:rsid w:val="002221DB"/>
    <w:rsid w:val="00223665"/>
    <w:rsid w:val="00227D41"/>
    <w:rsid w:val="0023711F"/>
    <w:rsid w:val="002419DA"/>
    <w:rsid w:val="002457EB"/>
    <w:rsid w:val="00253E95"/>
    <w:rsid w:val="002563D8"/>
    <w:rsid w:val="00257F82"/>
    <w:rsid w:val="0026166F"/>
    <w:rsid w:val="00263519"/>
    <w:rsid w:val="00272255"/>
    <w:rsid w:val="0028188F"/>
    <w:rsid w:val="002952FE"/>
    <w:rsid w:val="002B3361"/>
    <w:rsid w:val="002B4439"/>
    <w:rsid w:val="002C002B"/>
    <w:rsid w:val="002C0823"/>
    <w:rsid w:val="002C1634"/>
    <w:rsid w:val="002D652C"/>
    <w:rsid w:val="002D7117"/>
    <w:rsid w:val="002D75C0"/>
    <w:rsid w:val="002F22B5"/>
    <w:rsid w:val="002F5346"/>
    <w:rsid w:val="00313D4B"/>
    <w:rsid w:val="00320CE3"/>
    <w:rsid w:val="00322496"/>
    <w:rsid w:val="003273C2"/>
    <w:rsid w:val="003423A0"/>
    <w:rsid w:val="00342A1F"/>
    <w:rsid w:val="0035179E"/>
    <w:rsid w:val="00351CE7"/>
    <w:rsid w:val="00353A6E"/>
    <w:rsid w:val="00356114"/>
    <w:rsid w:val="00357BCA"/>
    <w:rsid w:val="00360670"/>
    <w:rsid w:val="00363203"/>
    <w:rsid w:val="00364CF8"/>
    <w:rsid w:val="00371331"/>
    <w:rsid w:val="00375E16"/>
    <w:rsid w:val="0038234F"/>
    <w:rsid w:val="00390B7E"/>
    <w:rsid w:val="003A5FCA"/>
    <w:rsid w:val="003A6A2B"/>
    <w:rsid w:val="003B0E0F"/>
    <w:rsid w:val="003B5457"/>
    <w:rsid w:val="003B5801"/>
    <w:rsid w:val="003C705D"/>
    <w:rsid w:val="003F0D93"/>
    <w:rsid w:val="003F61B0"/>
    <w:rsid w:val="003F689B"/>
    <w:rsid w:val="003F6A53"/>
    <w:rsid w:val="004427D3"/>
    <w:rsid w:val="0044489D"/>
    <w:rsid w:val="004455AD"/>
    <w:rsid w:val="00456199"/>
    <w:rsid w:val="004579F4"/>
    <w:rsid w:val="00461DAA"/>
    <w:rsid w:val="00465EDB"/>
    <w:rsid w:val="004772E5"/>
    <w:rsid w:val="004772FE"/>
    <w:rsid w:val="00477DB4"/>
    <w:rsid w:val="004840CB"/>
    <w:rsid w:val="00494D8A"/>
    <w:rsid w:val="004A381D"/>
    <w:rsid w:val="004A7EF6"/>
    <w:rsid w:val="004B578D"/>
    <w:rsid w:val="004B6B52"/>
    <w:rsid w:val="004B728E"/>
    <w:rsid w:val="004C40DF"/>
    <w:rsid w:val="004C43B8"/>
    <w:rsid w:val="004C7061"/>
    <w:rsid w:val="004C7560"/>
    <w:rsid w:val="004C7ACE"/>
    <w:rsid w:val="004D1193"/>
    <w:rsid w:val="004D42AF"/>
    <w:rsid w:val="004D72E3"/>
    <w:rsid w:val="004E3CD8"/>
    <w:rsid w:val="004E76AF"/>
    <w:rsid w:val="004F4C69"/>
    <w:rsid w:val="004F6243"/>
    <w:rsid w:val="005012BC"/>
    <w:rsid w:val="00507D05"/>
    <w:rsid w:val="00510D22"/>
    <w:rsid w:val="00513FC8"/>
    <w:rsid w:val="00514D42"/>
    <w:rsid w:val="005160CF"/>
    <w:rsid w:val="005275F6"/>
    <w:rsid w:val="00536C13"/>
    <w:rsid w:val="00540336"/>
    <w:rsid w:val="005519FF"/>
    <w:rsid w:val="00556D58"/>
    <w:rsid w:val="005609BE"/>
    <w:rsid w:val="00561481"/>
    <w:rsid w:val="0056525D"/>
    <w:rsid w:val="00580903"/>
    <w:rsid w:val="005814F4"/>
    <w:rsid w:val="00584382"/>
    <w:rsid w:val="0059596F"/>
    <w:rsid w:val="005965F3"/>
    <w:rsid w:val="005B4451"/>
    <w:rsid w:val="005B4CAD"/>
    <w:rsid w:val="005D1453"/>
    <w:rsid w:val="005E01AC"/>
    <w:rsid w:val="005E0870"/>
    <w:rsid w:val="005E0A29"/>
    <w:rsid w:val="005E4E9C"/>
    <w:rsid w:val="005F4E9D"/>
    <w:rsid w:val="00600F99"/>
    <w:rsid w:val="006020C7"/>
    <w:rsid w:val="00610EF2"/>
    <w:rsid w:val="00616A96"/>
    <w:rsid w:val="006208EF"/>
    <w:rsid w:val="00621094"/>
    <w:rsid w:val="0064725B"/>
    <w:rsid w:val="0065215C"/>
    <w:rsid w:val="00654F00"/>
    <w:rsid w:val="00655FDD"/>
    <w:rsid w:val="00662B93"/>
    <w:rsid w:val="0066311B"/>
    <w:rsid w:val="00677498"/>
    <w:rsid w:val="00687BE8"/>
    <w:rsid w:val="0069363D"/>
    <w:rsid w:val="00694BA1"/>
    <w:rsid w:val="006A1B73"/>
    <w:rsid w:val="006B0425"/>
    <w:rsid w:val="006C486B"/>
    <w:rsid w:val="006D1360"/>
    <w:rsid w:val="006D17AA"/>
    <w:rsid w:val="006D44DB"/>
    <w:rsid w:val="006D610E"/>
    <w:rsid w:val="006E569F"/>
    <w:rsid w:val="00703A62"/>
    <w:rsid w:val="007047F3"/>
    <w:rsid w:val="00711A89"/>
    <w:rsid w:val="007236D8"/>
    <w:rsid w:val="0072744D"/>
    <w:rsid w:val="007340DC"/>
    <w:rsid w:val="00737A3B"/>
    <w:rsid w:val="00743AF5"/>
    <w:rsid w:val="0075022E"/>
    <w:rsid w:val="00755F9B"/>
    <w:rsid w:val="007703D8"/>
    <w:rsid w:val="00775335"/>
    <w:rsid w:val="00781384"/>
    <w:rsid w:val="00781B60"/>
    <w:rsid w:val="00784BBB"/>
    <w:rsid w:val="00790E1F"/>
    <w:rsid w:val="0079740C"/>
    <w:rsid w:val="007B5BB2"/>
    <w:rsid w:val="007B6532"/>
    <w:rsid w:val="007C195E"/>
    <w:rsid w:val="007C1FF5"/>
    <w:rsid w:val="007C548A"/>
    <w:rsid w:val="007E0C1E"/>
    <w:rsid w:val="007E0E36"/>
    <w:rsid w:val="007E1D1C"/>
    <w:rsid w:val="007F6C92"/>
    <w:rsid w:val="0080114D"/>
    <w:rsid w:val="008060B8"/>
    <w:rsid w:val="008107E8"/>
    <w:rsid w:val="008108D9"/>
    <w:rsid w:val="00815B68"/>
    <w:rsid w:val="008206A0"/>
    <w:rsid w:val="0082206F"/>
    <w:rsid w:val="00830B06"/>
    <w:rsid w:val="008365E1"/>
    <w:rsid w:val="00845F19"/>
    <w:rsid w:val="00846458"/>
    <w:rsid w:val="00851364"/>
    <w:rsid w:val="0085477D"/>
    <w:rsid w:val="0086053B"/>
    <w:rsid w:val="00863465"/>
    <w:rsid w:val="008753B4"/>
    <w:rsid w:val="0088210A"/>
    <w:rsid w:val="008908C8"/>
    <w:rsid w:val="008941EA"/>
    <w:rsid w:val="00897944"/>
    <w:rsid w:val="008A3025"/>
    <w:rsid w:val="008A30EA"/>
    <w:rsid w:val="008A4B2F"/>
    <w:rsid w:val="008C7323"/>
    <w:rsid w:val="008D0698"/>
    <w:rsid w:val="008E40D7"/>
    <w:rsid w:val="008F24B6"/>
    <w:rsid w:val="00901336"/>
    <w:rsid w:val="0091614C"/>
    <w:rsid w:val="00916475"/>
    <w:rsid w:val="00917AFC"/>
    <w:rsid w:val="00922325"/>
    <w:rsid w:val="0092260B"/>
    <w:rsid w:val="00923C10"/>
    <w:rsid w:val="00935142"/>
    <w:rsid w:val="00941605"/>
    <w:rsid w:val="00952FC2"/>
    <w:rsid w:val="0095378B"/>
    <w:rsid w:val="00954712"/>
    <w:rsid w:val="009561BE"/>
    <w:rsid w:val="00966A57"/>
    <w:rsid w:val="00983C27"/>
    <w:rsid w:val="009956A8"/>
    <w:rsid w:val="009A13F0"/>
    <w:rsid w:val="009B1455"/>
    <w:rsid w:val="009B18D0"/>
    <w:rsid w:val="009B2D0D"/>
    <w:rsid w:val="009B37EF"/>
    <w:rsid w:val="009C097A"/>
    <w:rsid w:val="009C403B"/>
    <w:rsid w:val="009C565F"/>
    <w:rsid w:val="009E0465"/>
    <w:rsid w:val="009F4E21"/>
    <w:rsid w:val="009F4E8C"/>
    <w:rsid w:val="009F57E8"/>
    <w:rsid w:val="00A50BBD"/>
    <w:rsid w:val="00A513C1"/>
    <w:rsid w:val="00A64816"/>
    <w:rsid w:val="00A66C8F"/>
    <w:rsid w:val="00A84A17"/>
    <w:rsid w:val="00A94434"/>
    <w:rsid w:val="00AA400D"/>
    <w:rsid w:val="00AB376F"/>
    <w:rsid w:val="00AB6EDF"/>
    <w:rsid w:val="00AC3D63"/>
    <w:rsid w:val="00AC5829"/>
    <w:rsid w:val="00AC63F5"/>
    <w:rsid w:val="00AD0144"/>
    <w:rsid w:val="00AD18D0"/>
    <w:rsid w:val="00AD6CE0"/>
    <w:rsid w:val="00AE1E37"/>
    <w:rsid w:val="00AE6C05"/>
    <w:rsid w:val="00AF082D"/>
    <w:rsid w:val="00AF091F"/>
    <w:rsid w:val="00AF15B4"/>
    <w:rsid w:val="00AF1F4A"/>
    <w:rsid w:val="00AF5CB1"/>
    <w:rsid w:val="00AF6901"/>
    <w:rsid w:val="00B071CD"/>
    <w:rsid w:val="00B120C7"/>
    <w:rsid w:val="00B14282"/>
    <w:rsid w:val="00B16BDF"/>
    <w:rsid w:val="00B51371"/>
    <w:rsid w:val="00B51ADD"/>
    <w:rsid w:val="00B8472C"/>
    <w:rsid w:val="00B875DA"/>
    <w:rsid w:val="00B92813"/>
    <w:rsid w:val="00BA0AEB"/>
    <w:rsid w:val="00BB1ED7"/>
    <w:rsid w:val="00BC01E3"/>
    <w:rsid w:val="00BC0D07"/>
    <w:rsid w:val="00BC3F98"/>
    <w:rsid w:val="00BC4DF1"/>
    <w:rsid w:val="00BD364D"/>
    <w:rsid w:val="00BE2FCB"/>
    <w:rsid w:val="00BF01A0"/>
    <w:rsid w:val="00C05753"/>
    <w:rsid w:val="00C173A4"/>
    <w:rsid w:val="00C202F2"/>
    <w:rsid w:val="00C255E9"/>
    <w:rsid w:val="00C33973"/>
    <w:rsid w:val="00C344C4"/>
    <w:rsid w:val="00C37D34"/>
    <w:rsid w:val="00C61C8A"/>
    <w:rsid w:val="00C65C1E"/>
    <w:rsid w:val="00C73951"/>
    <w:rsid w:val="00C839A0"/>
    <w:rsid w:val="00C851DE"/>
    <w:rsid w:val="00C87FD3"/>
    <w:rsid w:val="00CA0888"/>
    <w:rsid w:val="00CA5129"/>
    <w:rsid w:val="00CA6EAC"/>
    <w:rsid w:val="00CB06C7"/>
    <w:rsid w:val="00CB0CA9"/>
    <w:rsid w:val="00CC343F"/>
    <w:rsid w:val="00CD11B4"/>
    <w:rsid w:val="00CD428C"/>
    <w:rsid w:val="00CD69D4"/>
    <w:rsid w:val="00CF3ACC"/>
    <w:rsid w:val="00CF5E70"/>
    <w:rsid w:val="00D056C6"/>
    <w:rsid w:val="00D06810"/>
    <w:rsid w:val="00D1130D"/>
    <w:rsid w:val="00D11C19"/>
    <w:rsid w:val="00D1695A"/>
    <w:rsid w:val="00D2142E"/>
    <w:rsid w:val="00D30972"/>
    <w:rsid w:val="00D36322"/>
    <w:rsid w:val="00D36968"/>
    <w:rsid w:val="00D37A0A"/>
    <w:rsid w:val="00D416CB"/>
    <w:rsid w:val="00D44C2A"/>
    <w:rsid w:val="00D524DD"/>
    <w:rsid w:val="00D57ACC"/>
    <w:rsid w:val="00D7669B"/>
    <w:rsid w:val="00D8077C"/>
    <w:rsid w:val="00D82D60"/>
    <w:rsid w:val="00D843E1"/>
    <w:rsid w:val="00D94F6A"/>
    <w:rsid w:val="00DA2151"/>
    <w:rsid w:val="00DC48BD"/>
    <w:rsid w:val="00DC4D9F"/>
    <w:rsid w:val="00DD118B"/>
    <w:rsid w:val="00DD5130"/>
    <w:rsid w:val="00DD72C9"/>
    <w:rsid w:val="00DE17F0"/>
    <w:rsid w:val="00DE1C37"/>
    <w:rsid w:val="00DE43D7"/>
    <w:rsid w:val="00DE5B95"/>
    <w:rsid w:val="00DF0D2A"/>
    <w:rsid w:val="00DF5C44"/>
    <w:rsid w:val="00E048D8"/>
    <w:rsid w:val="00E077F9"/>
    <w:rsid w:val="00E07E01"/>
    <w:rsid w:val="00E11B9E"/>
    <w:rsid w:val="00E23FB2"/>
    <w:rsid w:val="00E30E57"/>
    <w:rsid w:val="00E44B3C"/>
    <w:rsid w:val="00E65CBA"/>
    <w:rsid w:val="00E71431"/>
    <w:rsid w:val="00E72E0A"/>
    <w:rsid w:val="00E75661"/>
    <w:rsid w:val="00E93B8E"/>
    <w:rsid w:val="00EA1003"/>
    <w:rsid w:val="00EA2E35"/>
    <w:rsid w:val="00EB123B"/>
    <w:rsid w:val="00EB45C9"/>
    <w:rsid w:val="00ED6D60"/>
    <w:rsid w:val="00EE4A75"/>
    <w:rsid w:val="00EE6BC9"/>
    <w:rsid w:val="00EF4561"/>
    <w:rsid w:val="00F013A1"/>
    <w:rsid w:val="00F02A2A"/>
    <w:rsid w:val="00F05500"/>
    <w:rsid w:val="00F10F00"/>
    <w:rsid w:val="00F1623A"/>
    <w:rsid w:val="00F221A6"/>
    <w:rsid w:val="00F32435"/>
    <w:rsid w:val="00F43701"/>
    <w:rsid w:val="00F45CFD"/>
    <w:rsid w:val="00F470B6"/>
    <w:rsid w:val="00F5216E"/>
    <w:rsid w:val="00F8384A"/>
    <w:rsid w:val="00F93261"/>
    <w:rsid w:val="00F95E2C"/>
    <w:rsid w:val="00FA216E"/>
    <w:rsid w:val="00FA49F1"/>
    <w:rsid w:val="00FB4A43"/>
    <w:rsid w:val="00FC0A27"/>
    <w:rsid w:val="00FD523F"/>
    <w:rsid w:val="00FD5813"/>
    <w:rsid w:val="00FE3906"/>
    <w:rsid w:val="00FF04D8"/>
    <w:rsid w:val="00FF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623A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1623A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1623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F6A53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DF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214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42E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F98"/>
    <w:pPr>
      <w:spacing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F98"/>
    <w:rPr>
      <w:rFonts w:eastAsiaTheme="minorHAnsi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64FA0-6FFF-4CDC-BEEC-317D97C0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RuzannaKh</cp:lastModifiedBy>
  <cp:revision>13</cp:revision>
  <cp:lastPrinted>2015-11-16T09:25:00Z</cp:lastPrinted>
  <dcterms:created xsi:type="dcterms:W3CDTF">2015-11-16T08:27:00Z</dcterms:created>
  <dcterms:modified xsi:type="dcterms:W3CDTF">2015-11-20T14:21:00Z</dcterms:modified>
</cp:coreProperties>
</file>