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73" w:rsidRPr="00C14180" w:rsidRDefault="00286873" w:rsidP="00286873">
      <w:pPr>
        <w:jc w:val="center"/>
        <w:rPr>
          <w:rFonts w:ascii="GHEA Grapalat" w:hAnsi="GHEA Grapalat"/>
          <w:b/>
          <w:sz w:val="24"/>
          <w:szCs w:val="24"/>
          <w:lang w:val="hy-AM"/>
        </w:rPr>
      </w:pPr>
      <w:bookmarkStart w:id="0" w:name="_GoBack"/>
      <w:r w:rsidRPr="00C14180">
        <w:rPr>
          <w:rFonts w:ascii="GHEA Grapalat" w:hAnsi="GHEA Grapalat"/>
          <w:b/>
          <w:sz w:val="24"/>
          <w:szCs w:val="24"/>
          <w:lang w:val="hy-AM"/>
        </w:rPr>
        <w:t>ՏԵՂԵԿԱՆՔ-ՀԻՄՆԱՎՈՐՈՒՄ</w:t>
      </w:r>
    </w:p>
    <w:p w:rsidR="00286873" w:rsidRPr="00C14180" w:rsidRDefault="00286873" w:rsidP="00286873">
      <w:pPr>
        <w:jc w:val="center"/>
        <w:rPr>
          <w:rFonts w:ascii="GHEA Grapalat" w:hAnsi="GHEA Grapalat"/>
          <w:b/>
          <w:lang w:val="hy-AM"/>
        </w:rPr>
      </w:pPr>
      <w:r w:rsidRPr="00C14180">
        <w:rPr>
          <w:rFonts w:ascii="GHEA Grapalat" w:hAnsi="GHEA Grapalat"/>
          <w:b/>
          <w:lang w:val="hy-AM"/>
        </w:rPr>
        <w:t xml:space="preserve"> «ՀԱՅԱՍՏԱՆԻ ՀԱՆՐԱՊԵՏՈՒԹՅԱՆ ԿԱՌԱՎԱՐՈՒԹՅԱՆ 2015 ԹՎԱԿԱՆԻ ՄԱՐՏԻ 19-Ի N 596-Ն ՈՐՈՇՄԱՆ ՄԵՋ ԼՐԱՑՈՒՄՆԵՐ  ԿԱՏԱՐԵԼՈՒ ՄԱՍԻՆ» ՀՀ ԿԱՌԱՎԱՐՈՒԹՅԱՆ ՈՐՈՇՄԱՆ ՆԱԽԱԳԾԻ ՄԱՍԻՆ</w:t>
      </w:r>
    </w:p>
    <w:p w:rsidR="00286873" w:rsidRPr="00C14180" w:rsidRDefault="00286873" w:rsidP="00286873">
      <w:pPr>
        <w:spacing w:after="0"/>
        <w:jc w:val="both"/>
        <w:rPr>
          <w:rFonts w:ascii="GHEA Grapalat" w:hAnsi="GHEA Grapalat"/>
          <w:sz w:val="24"/>
          <w:szCs w:val="24"/>
          <w:lang w:val="hy-AM"/>
        </w:rPr>
      </w:pPr>
      <w:r w:rsidRPr="00C14180">
        <w:rPr>
          <w:rFonts w:ascii="GHEA Grapalat" w:hAnsi="GHEA Grapalat"/>
          <w:sz w:val="24"/>
          <w:szCs w:val="24"/>
          <w:lang w:val="hy-AM"/>
        </w:rPr>
        <w:t xml:space="preserve">      ՀՀ կառավարության «Հայաստանի Հանրապետության կառավարության 2015 թվականի մարտի 19-ի  N596-Ն որոշման մեջ լրացումներ  կատարելու մասին» որոշման նախագծի (այսուհետ՝ Նախագիծ) նախապատրաստման անհրաժեշտությունը պայմանավորված է այն հանգամանքով, որ ՀՀ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որոշման N1 Հավելվածով հաստատված կարգի (այսուհետ՝ Կարգ) 147-րդ կետով ընդունող հանձնաժողովների կազմում մատակարար կազմակերպությունների ներկայացուցիչների մասնակցությունը կրում է պարտադիր բնույթ՝ այդ թվում նաև գոյություն ունեցող շենքերի և/կամ շինությունների  վերակառուցման, վերականգնման, ուժեղացման, արդիականացման, ընդլայնման, կամ անհատական բնակելի տների սպասարկման համար անհրաժեշտ օժանդակ շինությունների կառուցման աշխատանքների իրականացման համար, սակայն գործնականում՝ թվարկված շինարարական աշխատանքների զգալի դեպքերում, անհրաժեշտություն չի առաջանում  որևէ մատակարար կազմակերպության ենթակառուցվածքի փոփոխության իրականացում, իսկ նախագծման թույլտվության տրման փուլում համապատասխան տեխնիկական պայմանների տրման անհրաժեշտություն:</w:t>
      </w:r>
    </w:p>
    <w:p w:rsidR="00286873" w:rsidRPr="00C14180" w:rsidRDefault="00286873" w:rsidP="00286873">
      <w:pPr>
        <w:spacing w:after="0"/>
        <w:ind w:firstLine="540"/>
        <w:jc w:val="both"/>
        <w:rPr>
          <w:rFonts w:ascii="GHEA Grapalat" w:hAnsi="GHEA Grapalat"/>
          <w:sz w:val="24"/>
          <w:szCs w:val="24"/>
          <w:lang w:val="hy-AM"/>
        </w:rPr>
      </w:pPr>
      <w:r w:rsidRPr="00C14180">
        <w:rPr>
          <w:rFonts w:ascii="GHEA Grapalat" w:hAnsi="GHEA Grapalat"/>
          <w:sz w:val="24"/>
          <w:szCs w:val="24"/>
          <w:lang w:val="hy-AM"/>
        </w:rPr>
        <w:t xml:space="preserve">Հաշվի առնելով վերը նշված հանգամանքն, սույն Նախագծով նախատեսվում է կարգավորել առաջացած խնդիրը, որի արդյունքում կառուցապատողները ստիպված չեն լինի ընդունող հանձնաժողովների կազմում ներգրավել այն մատակարար կազմակերպությունների ներկայացուցիչներին, որոնք այդ կառուցապատման համար հաստատված ճարտարապետաշինարարական նախագծի պայմաններին և նորմատիվատեխնիկական փաստաթղթերի պարտադիր պահանջներին համապատասխան չեն տրամադրել տեխնիկական պայման և որևէ փոփոխություն չի կատարվել արդեն իսկ շահագործվող որևէ ենթակառուցվածքում: Նշված գործընթացի կարգավորման արդյունքում, բազմաթիվ դեպքերում, կկրճատվեն ընդունող հանձնաժողովների կազմերը, իսկ կառուցապատողների համար՝ այդ առումով, էապես կպարզեցվի ու կհեշտացվի ներկայումս իրականացվող վարչարարությունը: </w:t>
      </w:r>
    </w:p>
    <w:p w:rsidR="00286873" w:rsidRPr="00C14180" w:rsidRDefault="00286873" w:rsidP="00286873">
      <w:pPr>
        <w:jc w:val="both"/>
        <w:rPr>
          <w:rFonts w:ascii="GHEA Grapalat" w:hAnsi="GHEA Grapalat"/>
          <w:b/>
          <w:lang w:val="hy-AM"/>
        </w:rPr>
      </w:pPr>
    </w:p>
    <w:p w:rsidR="00286873" w:rsidRPr="00C14180" w:rsidRDefault="00286873" w:rsidP="00286873">
      <w:pPr>
        <w:jc w:val="both"/>
        <w:rPr>
          <w:rFonts w:ascii="GHEA Grapalat" w:hAnsi="GHEA Grapalat"/>
          <w:b/>
          <w:lang w:val="hy-AM"/>
        </w:rPr>
      </w:pPr>
    </w:p>
    <w:p w:rsidR="00286873" w:rsidRPr="00C14180" w:rsidRDefault="00286873" w:rsidP="00286873">
      <w:pPr>
        <w:tabs>
          <w:tab w:val="left" w:pos="6570"/>
        </w:tabs>
        <w:jc w:val="center"/>
        <w:rPr>
          <w:rFonts w:ascii="GHEA Grapalat" w:hAnsi="GHEA Grapalat" w:cs="Sylfaen"/>
          <w:b/>
          <w:sz w:val="24"/>
          <w:szCs w:val="24"/>
          <w:lang w:val="hy-AM"/>
        </w:rPr>
      </w:pPr>
    </w:p>
    <w:p w:rsidR="00286873" w:rsidRPr="00C14180" w:rsidRDefault="00286873" w:rsidP="00F147A6">
      <w:pPr>
        <w:tabs>
          <w:tab w:val="left" w:pos="6570"/>
        </w:tabs>
        <w:jc w:val="center"/>
        <w:rPr>
          <w:rFonts w:ascii="GHEA Grapalat" w:hAnsi="GHEA Grapalat" w:cs="Sylfaen"/>
          <w:b/>
          <w:sz w:val="24"/>
          <w:szCs w:val="24"/>
          <w:lang w:val="hy-AM"/>
        </w:rPr>
      </w:pPr>
    </w:p>
    <w:p w:rsidR="00F147A6" w:rsidRPr="00C14180" w:rsidRDefault="00F147A6" w:rsidP="00F147A6">
      <w:pPr>
        <w:tabs>
          <w:tab w:val="left" w:pos="6570"/>
        </w:tabs>
        <w:jc w:val="center"/>
        <w:rPr>
          <w:rFonts w:ascii="GHEA Grapalat" w:hAnsi="GHEA Grapalat"/>
          <w:b/>
          <w:sz w:val="24"/>
          <w:szCs w:val="24"/>
          <w:lang w:val="hy-AM"/>
        </w:rPr>
      </w:pPr>
      <w:r w:rsidRPr="00C14180">
        <w:rPr>
          <w:rFonts w:ascii="GHEA Grapalat" w:hAnsi="GHEA Grapalat" w:cs="Sylfaen"/>
          <w:b/>
          <w:sz w:val="24"/>
          <w:szCs w:val="24"/>
          <w:lang w:val="hy-AM"/>
        </w:rPr>
        <w:t>Տ</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Ե</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Ղ</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Ե</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Կ</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Ա</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Ն</w:t>
      </w:r>
      <w:r w:rsidRPr="00C14180">
        <w:rPr>
          <w:rFonts w:ascii="GHEA Grapalat" w:hAnsi="GHEA Grapalat"/>
          <w:b/>
          <w:sz w:val="24"/>
          <w:szCs w:val="24"/>
          <w:lang w:val="hy-AM"/>
        </w:rPr>
        <w:t xml:space="preserve"> </w:t>
      </w:r>
      <w:r w:rsidRPr="00C14180">
        <w:rPr>
          <w:rFonts w:ascii="GHEA Grapalat" w:hAnsi="GHEA Grapalat" w:cs="Sylfaen"/>
          <w:b/>
          <w:sz w:val="24"/>
          <w:szCs w:val="24"/>
          <w:lang w:val="hy-AM"/>
        </w:rPr>
        <w:t>Ք</w:t>
      </w:r>
    </w:p>
    <w:p w:rsidR="00F147A6" w:rsidRPr="00C14180" w:rsidRDefault="00F147A6" w:rsidP="00F147A6">
      <w:pPr>
        <w:autoSpaceDE w:val="0"/>
        <w:autoSpaceDN w:val="0"/>
        <w:adjustRightInd w:val="0"/>
        <w:spacing w:after="0" w:line="240" w:lineRule="auto"/>
        <w:jc w:val="center"/>
        <w:rPr>
          <w:rStyle w:val="Strong"/>
          <w:rFonts w:ascii="GHEA Grapalat" w:hAnsi="GHEA Grapalat"/>
          <w:color w:val="000000"/>
          <w:lang w:val="hy-AM"/>
        </w:rPr>
      </w:pPr>
      <w:r w:rsidRPr="00C14180">
        <w:rPr>
          <w:rFonts w:ascii="GHEA Grapalat" w:hAnsi="GHEA Grapalat" w:cs="Sylfaen"/>
          <w:b/>
          <w:lang w:val="hy-AM"/>
        </w:rPr>
        <w:t>«</w:t>
      </w:r>
      <w:r w:rsidRPr="00C14180">
        <w:rPr>
          <w:rFonts w:ascii="GHEA Grapalat" w:hAnsi="GHEA Grapalat"/>
          <w:b/>
          <w:lang w:val="hy-AM"/>
        </w:rPr>
        <w:t>ՀԱՅԱՍՏԱՆԻ ՀԱՆՐԱՊԵՏՈՒԹՅԱՆ ԿԱՌԱՎԱՐՈՒԹՅԱՆ 2015 ԹՎԱԿԱՆԻ ՄԱՐՏԻ 19-Ի N 596-Ն ՈՐՈՇՄԱՆ ՄԵՋ ԼՐԱՑՈՒՄՆԵՐ ԿԱՏԱՐԵԼՈՒ ՄԱՍԻՆ</w:t>
      </w:r>
      <w:r w:rsidRPr="00C14180">
        <w:rPr>
          <w:rStyle w:val="Strong"/>
          <w:rFonts w:ascii="GHEA Grapalat" w:hAnsi="GHEA Grapalat" w:cs="Sylfaen"/>
          <w:color w:val="000000"/>
          <w:lang w:val="hy-AM"/>
        </w:rPr>
        <w:t xml:space="preserve">» </w:t>
      </w:r>
      <w:r w:rsidRPr="00C14180">
        <w:rPr>
          <w:rFonts w:ascii="GHEA Grapalat" w:hAnsi="GHEA Grapalat" w:cs="Sylfaen"/>
          <w:b/>
          <w:lang w:val="hy-AM"/>
        </w:rPr>
        <w:t xml:space="preserve"> </w:t>
      </w:r>
      <w:r w:rsidRPr="00C14180">
        <w:rPr>
          <w:rStyle w:val="Strong"/>
          <w:rFonts w:ascii="GHEA Grapalat" w:hAnsi="GHEA Grapalat" w:cs="Sylfaen"/>
          <w:lang w:val="hy-AM"/>
        </w:rPr>
        <w:t>ՀԱՅԱՍՏԱՆԻ</w:t>
      </w:r>
      <w:r w:rsidRPr="00C14180">
        <w:rPr>
          <w:rStyle w:val="Strong"/>
          <w:rFonts w:ascii="GHEA Grapalat" w:hAnsi="GHEA Grapalat"/>
          <w:lang w:val="hy-AM"/>
        </w:rPr>
        <w:t xml:space="preserve"> </w:t>
      </w:r>
      <w:r w:rsidRPr="00C14180">
        <w:rPr>
          <w:rStyle w:val="Strong"/>
          <w:rFonts w:ascii="GHEA Grapalat" w:hAnsi="GHEA Grapalat" w:cs="Sylfaen"/>
          <w:lang w:val="hy-AM"/>
        </w:rPr>
        <w:t>ՀԱՆՐԱՊԵՏՈՒԹՅԱՆ</w:t>
      </w:r>
      <w:r w:rsidRPr="00C14180">
        <w:rPr>
          <w:rStyle w:val="Strong"/>
          <w:rFonts w:ascii="GHEA Grapalat" w:hAnsi="GHEA Grapalat"/>
          <w:lang w:val="hy-AM"/>
        </w:rPr>
        <w:t xml:space="preserve"> ԿԱՌԱՎԱՐՈՒԹՅԱՆ ՈՐՈՇՄԱՆ ՆԱԽԱԳԾԻ</w:t>
      </w:r>
      <w:r w:rsidRPr="00C14180">
        <w:rPr>
          <w:rStyle w:val="Strong"/>
          <w:rFonts w:ascii="GHEA Grapalat" w:hAnsi="GHEA Grapalat" w:cs="Sylfaen"/>
          <w:lang w:val="hy-AM"/>
        </w:rPr>
        <w:t xml:space="preserve"> ԸՆԴՈՒՆՄԱՆ ԱՌՆՉՈՒԹՅԱՄԲ ԱՅԼ ՆՈՐՄԱՏԻՎ ԻՐԱՎԱԿԱՆ ԱԿՏԵՐԻ ԸՆԴՈՒՆՄԱՆ ԱՆՀՐԱԺԵՇՏՈՒԹՅԱՆ ՄԱՍԻՆ</w:t>
      </w:r>
    </w:p>
    <w:p w:rsidR="00F147A6" w:rsidRPr="00C14180" w:rsidRDefault="00F147A6" w:rsidP="00F147A6">
      <w:pPr>
        <w:autoSpaceDE w:val="0"/>
        <w:autoSpaceDN w:val="0"/>
        <w:adjustRightInd w:val="0"/>
        <w:spacing w:after="0" w:line="240" w:lineRule="auto"/>
        <w:jc w:val="center"/>
        <w:rPr>
          <w:rStyle w:val="Strong"/>
          <w:rFonts w:ascii="GHEA Grapalat" w:hAnsi="GHEA Grapalat" w:cs="Sylfaen"/>
          <w:lang w:val="hy-AM"/>
        </w:rPr>
      </w:pPr>
    </w:p>
    <w:p w:rsidR="00F147A6" w:rsidRPr="00C14180" w:rsidRDefault="00F147A6" w:rsidP="00F147A6">
      <w:pPr>
        <w:spacing w:after="120"/>
        <w:jc w:val="both"/>
        <w:rPr>
          <w:rFonts w:ascii="GHEA Grapalat" w:hAnsi="GHEA Grapalat" w:cs="Times New Roman"/>
          <w:sz w:val="24"/>
          <w:szCs w:val="24"/>
          <w:lang w:val="hy-AM"/>
        </w:rPr>
      </w:pPr>
      <w:r w:rsidRPr="00C14180">
        <w:rPr>
          <w:rFonts w:ascii="GHEA Grapalat" w:hAnsi="GHEA Grapalat"/>
          <w:b/>
          <w:sz w:val="24"/>
          <w:szCs w:val="24"/>
          <w:lang w:val="hy-AM"/>
        </w:rPr>
        <w:tab/>
      </w:r>
      <w:r w:rsidRPr="00C14180">
        <w:rPr>
          <w:rFonts w:ascii="GHEA Grapalat" w:hAnsi="GHEA Grapalat"/>
          <w:sz w:val="24"/>
          <w:szCs w:val="24"/>
          <w:lang w:val="hy-AM"/>
        </w:rPr>
        <w:t xml:space="preserve">«Հայաստանի Հանրապետության կառավարության 2015 թվականի մարտի 19-ի  N 596-Ն որոշման մեջ լրացումներ կատարելու մասին» Հայաստանի Հանրապետության կառավարության որոշման նախագծի </w:t>
      </w:r>
      <w:r w:rsidRPr="00C14180">
        <w:rPr>
          <w:rFonts w:ascii="GHEA Grapalat" w:hAnsi="GHEA Grapalat"/>
          <w:color w:val="000000"/>
          <w:sz w:val="24"/>
          <w:szCs w:val="24"/>
          <w:lang w:val="hy-AM"/>
        </w:rPr>
        <w:t>ընդունման առնչությամբ այլ նորմատիվ իրավական ակտեր ընդունել անհրաժեշտ չէ։</w:t>
      </w:r>
    </w:p>
    <w:p w:rsidR="00F147A6" w:rsidRPr="00C14180" w:rsidRDefault="00F147A6" w:rsidP="00F147A6">
      <w:pPr>
        <w:spacing w:after="120" w:line="240" w:lineRule="auto"/>
        <w:jc w:val="center"/>
        <w:rPr>
          <w:rFonts w:ascii="GHEA Grapalat" w:hAnsi="GHEA Grapalat" w:cs="Sylfaen"/>
          <w:b/>
          <w:sz w:val="24"/>
          <w:szCs w:val="24"/>
          <w:lang w:val="hy-AM"/>
        </w:rPr>
      </w:pPr>
    </w:p>
    <w:p w:rsidR="00F147A6" w:rsidRPr="00C14180" w:rsidRDefault="00F147A6" w:rsidP="00F147A6">
      <w:pPr>
        <w:spacing w:after="120" w:line="240" w:lineRule="auto"/>
        <w:jc w:val="center"/>
        <w:rPr>
          <w:rFonts w:ascii="GHEA Grapalat" w:hAnsi="GHEA Grapalat" w:cs="Sylfaen"/>
          <w:b/>
          <w:sz w:val="24"/>
          <w:szCs w:val="24"/>
          <w:lang w:val="hy-AM"/>
        </w:rPr>
      </w:pPr>
      <w:r w:rsidRPr="00C14180">
        <w:rPr>
          <w:rFonts w:ascii="GHEA Grapalat" w:hAnsi="GHEA Grapalat" w:cs="Sylfaen"/>
          <w:b/>
          <w:sz w:val="24"/>
          <w:szCs w:val="24"/>
          <w:lang w:val="hy-AM"/>
        </w:rPr>
        <w:t xml:space="preserve"> </w:t>
      </w:r>
    </w:p>
    <w:p w:rsidR="00F147A6" w:rsidRPr="00C14180" w:rsidRDefault="00F147A6" w:rsidP="00F147A6">
      <w:pPr>
        <w:spacing w:after="120" w:line="240" w:lineRule="auto"/>
        <w:jc w:val="center"/>
        <w:rPr>
          <w:rFonts w:ascii="GHEA Grapalat" w:hAnsi="GHEA Grapalat" w:cs="Sylfaen"/>
          <w:b/>
          <w:sz w:val="24"/>
          <w:szCs w:val="24"/>
          <w:lang w:val="hy-AM"/>
        </w:rPr>
      </w:pPr>
    </w:p>
    <w:p w:rsidR="00F147A6" w:rsidRPr="00C14180" w:rsidRDefault="00F147A6" w:rsidP="00F147A6">
      <w:pPr>
        <w:spacing w:after="120" w:line="240" w:lineRule="auto"/>
        <w:jc w:val="center"/>
        <w:rPr>
          <w:rFonts w:ascii="GHEA Grapalat" w:hAnsi="GHEA Grapalat" w:cs="Times New Roman"/>
          <w:b/>
          <w:sz w:val="24"/>
          <w:szCs w:val="24"/>
          <w:lang w:val="hy-AM"/>
        </w:rPr>
      </w:pPr>
      <w:r w:rsidRPr="00C14180">
        <w:rPr>
          <w:rFonts w:ascii="GHEA Grapalat" w:hAnsi="GHEA Grapalat" w:cs="Sylfaen"/>
          <w:b/>
          <w:sz w:val="24"/>
          <w:szCs w:val="24"/>
          <w:lang w:val="hy-AM"/>
        </w:rPr>
        <w:t>Տ Ե Ղ Ե Կ Ա Ն Ք</w:t>
      </w:r>
      <w:r w:rsidRPr="00C14180">
        <w:rPr>
          <w:rFonts w:ascii="GHEA Grapalat" w:hAnsi="GHEA Grapalat"/>
          <w:b/>
          <w:sz w:val="24"/>
          <w:szCs w:val="24"/>
          <w:lang w:val="hy-AM"/>
        </w:rPr>
        <w:t xml:space="preserve"> </w:t>
      </w:r>
    </w:p>
    <w:p w:rsidR="00F147A6" w:rsidRPr="00C14180" w:rsidRDefault="00F147A6" w:rsidP="00F147A6">
      <w:pPr>
        <w:pStyle w:val="NormalWeb"/>
        <w:spacing w:before="0" w:beforeAutospacing="0" w:after="0" w:afterAutospacing="0"/>
        <w:ind w:firstLine="375"/>
        <w:jc w:val="center"/>
        <w:rPr>
          <w:rStyle w:val="Strong"/>
          <w:rFonts w:ascii="GHEA Grapalat" w:eastAsia="Calibri" w:hAnsi="GHEA Grapalat" w:cs="Sylfaen"/>
          <w:sz w:val="22"/>
          <w:szCs w:val="22"/>
          <w:lang w:val="hy-AM"/>
        </w:rPr>
      </w:pPr>
      <w:r w:rsidRPr="00C14180">
        <w:rPr>
          <w:rFonts w:ascii="GHEA Grapalat" w:hAnsi="GHEA Grapalat" w:cs="Sylfaen"/>
          <w:b/>
          <w:sz w:val="22"/>
          <w:szCs w:val="22"/>
          <w:lang w:val="hy-AM"/>
        </w:rPr>
        <w:t>«</w:t>
      </w:r>
      <w:r w:rsidRPr="00C14180">
        <w:rPr>
          <w:rFonts w:ascii="GHEA Grapalat" w:hAnsi="GHEA Grapalat"/>
          <w:b/>
          <w:sz w:val="22"/>
          <w:szCs w:val="22"/>
          <w:lang w:val="hy-AM"/>
        </w:rPr>
        <w:t>ՀԱՅԱՍՏԱՆԻ ՀԱՆՐԱՊԵՏՈՒԹՅԱՆ ԿԱՌԱՎԱՐՈՒԹՅԱՆ 2015 ԹՎԱԿԱՆԻ ՄԱՐՏԻ 19-Ի N 596-Ն ՈՐՈՇՄԱՆ ՄԵՋ ԼՐԱՑՈՒՄՆԵՐ  ԿԱՏԱՐԵԼՈՒ ՄԱՍԻՆ</w:t>
      </w:r>
      <w:r w:rsidRPr="00C14180">
        <w:rPr>
          <w:rStyle w:val="Strong"/>
          <w:rFonts w:ascii="GHEA Grapalat" w:hAnsi="GHEA Grapalat" w:cs="Sylfaen"/>
          <w:color w:val="000000"/>
          <w:sz w:val="22"/>
          <w:szCs w:val="22"/>
          <w:lang w:val="hy-AM"/>
        </w:rPr>
        <w:t xml:space="preserve">» </w:t>
      </w:r>
      <w:r w:rsidRPr="00C14180">
        <w:rPr>
          <w:rStyle w:val="Strong"/>
          <w:rFonts w:ascii="GHEA Grapalat" w:eastAsia="Calibri" w:hAnsi="GHEA Grapalat" w:cs="Sylfaen"/>
          <w:sz w:val="22"/>
          <w:szCs w:val="22"/>
          <w:lang w:val="hy-AM"/>
        </w:rPr>
        <w:t>ՀԱՅԱՍՏԱՆԻ</w:t>
      </w:r>
      <w:r w:rsidRPr="00C14180">
        <w:rPr>
          <w:rStyle w:val="Strong"/>
          <w:rFonts w:ascii="GHEA Grapalat" w:eastAsia="Calibri" w:hAnsi="GHEA Grapalat"/>
          <w:sz w:val="22"/>
          <w:szCs w:val="22"/>
          <w:lang w:val="hy-AM"/>
        </w:rPr>
        <w:t xml:space="preserve"> </w:t>
      </w:r>
      <w:r w:rsidRPr="00C14180">
        <w:rPr>
          <w:rStyle w:val="Strong"/>
          <w:rFonts w:ascii="GHEA Grapalat" w:eastAsia="Calibri" w:hAnsi="GHEA Grapalat" w:cs="Sylfaen"/>
          <w:sz w:val="22"/>
          <w:szCs w:val="22"/>
          <w:lang w:val="hy-AM"/>
        </w:rPr>
        <w:t>ՀԱՆՐԱՊԵՏՈՒԹՅԱՆ</w:t>
      </w:r>
      <w:r w:rsidRPr="00C14180">
        <w:rPr>
          <w:rStyle w:val="Strong"/>
          <w:rFonts w:ascii="GHEA Grapalat" w:eastAsia="Calibri" w:hAnsi="GHEA Grapalat"/>
          <w:sz w:val="22"/>
          <w:szCs w:val="22"/>
          <w:lang w:val="hy-AM"/>
        </w:rPr>
        <w:t xml:space="preserve"> ԿԱՌԱՎԱՐՈՒԹՅԱՆ ՈՐՈՇՄԱՆ ՆԱԽԱԳԾԻ</w:t>
      </w:r>
      <w:r w:rsidRPr="00C14180">
        <w:rPr>
          <w:rStyle w:val="Strong"/>
          <w:rFonts w:ascii="GHEA Grapalat" w:eastAsia="Calibri" w:hAnsi="GHEA Grapalat" w:cs="Sylfaen"/>
          <w:sz w:val="22"/>
          <w:szCs w:val="22"/>
          <w:lang w:val="hy-AM"/>
        </w:rPr>
        <w:t xml:space="preserve"> ԸՆԴՈՒՆՄԱՆ ԿԱՊԱԿՑՈՒԹՅԱՄԲ ՊԵՏԱԿԱՆ ԿԱՄ ՏԵՂԱԿԱՆ ԻՆՔՆԱԿԱՌԱՎԱՐՄԱՆ ՄԱՐՄՆԻ ԲՅՈՒՋԵՈՒՄ ԵԿԱՄՈՒՏՆԵՐԻ ԵՎ ԾԱԽՍԵՐԻ ԱՎԵԼԱՑՄԱՆ ԿԱՄ  ՆՎԱԶԵՑՄԱՆ ՄԱՍԻՆ</w:t>
      </w:r>
    </w:p>
    <w:p w:rsidR="00F147A6" w:rsidRPr="00C14180" w:rsidRDefault="00F147A6" w:rsidP="00F147A6">
      <w:pPr>
        <w:spacing w:after="0" w:line="240" w:lineRule="auto"/>
        <w:jc w:val="center"/>
        <w:rPr>
          <w:rFonts w:ascii="GHEA Grapalat" w:eastAsia="Times New Roman" w:hAnsi="GHEA Grapalat" w:cs="Times New Roman"/>
          <w:lang w:val="hy-AM"/>
        </w:rPr>
      </w:pPr>
    </w:p>
    <w:p w:rsidR="00F147A6" w:rsidRPr="00C14180" w:rsidRDefault="00F147A6" w:rsidP="00F147A6">
      <w:pPr>
        <w:ind w:firstLine="708"/>
        <w:jc w:val="both"/>
        <w:rPr>
          <w:rFonts w:ascii="GHEA Grapalat" w:hAnsi="GHEA Grapalat"/>
          <w:color w:val="000000"/>
          <w:sz w:val="24"/>
          <w:szCs w:val="24"/>
          <w:lang w:val="hy-AM"/>
        </w:rPr>
      </w:pPr>
      <w:r w:rsidRPr="00C14180">
        <w:rPr>
          <w:rFonts w:ascii="GHEA Grapalat" w:hAnsi="GHEA Grapalat"/>
          <w:sz w:val="24"/>
          <w:szCs w:val="24"/>
          <w:lang w:val="hy-AM"/>
        </w:rPr>
        <w:t xml:space="preserve">«Հայաստանի Հանրապետության կառավարության 2015 թվականի մարտի 19-ի  N596-Ն որոշման մեջ լրացումներ կատարելու մասին» </w:t>
      </w:r>
      <w:r w:rsidRPr="00C14180">
        <w:rPr>
          <w:rFonts w:ascii="GHEA Grapalat" w:hAnsi="GHEA Grapalat"/>
          <w:color w:val="000000"/>
          <w:sz w:val="24"/>
          <w:szCs w:val="24"/>
          <w:lang w:val="hy-AM"/>
        </w:rPr>
        <w:t>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F147A6" w:rsidRPr="00C14180" w:rsidRDefault="00F147A6" w:rsidP="00F147A6">
      <w:pPr>
        <w:spacing w:after="0" w:line="23" w:lineRule="atLeast"/>
        <w:jc w:val="center"/>
        <w:rPr>
          <w:rFonts w:ascii="GHEA Grapalat" w:hAnsi="GHEA Grapalat"/>
          <w:b/>
          <w:sz w:val="24"/>
          <w:szCs w:val="24"/>
          <w:lang w:val="hy-AM"/>
        </w:rPr>
      </w:pPr>
    </w:p>
    <w:p w:rsidR="00F147A6" w:rsidRPr="00C14180" w:rsidRDefault="00F147A6" w:rsidP="00F147A6">
      <w:pPr>
        <w:spacing w:after="0" w:line="23" w:lineRule="atLeast"/>
        <w:jc w:val="center"/>
        <w:rPr>
          <w:rFonts w:ascii="GHEA Grapalat" w:hAnsi="GHEA Grapalat"/>
          <w:b/>
          <w:sz w:val="24"/>
          <w:szCs w:val="24"/>
          <w:lang w:val="hy-AM"/>
        </w:rPr>
      </w:pPr>
    </w:p>
    <w:p w:rsidR="00286873" w:rsidRPr="00C14180" w:rsidRDefault="00F147A6" w:rsidP="00F147A6">
      <w:pPr>
        <w:jc w:val="right"/>
        <w:rPr>
          <w:rStyle w:val="Strong"/>
          <w:rFonts w:ascii="GHEA Grapalat" w:hAnsi="GHEA Grapalat" w:cs="Sylfaen"/>
          <w:sz w:val="24"/>
          <w:szCs w:val="24"/>
          <w:lang w:val="hy-AM"/>
        </w:rPr>
      </w:pPr>
      <w:r w:rsidRPr="00C14180">
        <w:rPr>
          <w:rStyle w:val="Strong"/>
          <w:rFonts w:ascii="GHEA Grapalat" w:hAnsi="GHEA Grapalat" w:cs="Sylfaen"/>
          <w:sz w:val="24"/>
          <w:szCs w:val="24"/>
          <w:lang w:val="hy-AM"/>
        </w:rPr>
        <w:t xml:space="preserve">  </w:t>
      </w:r>
    </w:p>
    <w:p w:rsidR="00F147A6" w:rsidRPr="00C14180" w:rsidRDefault="00F147A6" w:rsidP="00F147A6">
      <w:pPr>
        <w:spacing w:after="0" w:line="23" w:lineRule="atLeast"/>
        <w:jc w:val="center"/>
        <w:rPr>
          <w:rFonts w:ascii="GHEA Grapalat" w:hAnsi="GHEA Grapalat" w:cs="Times New Roman"/>
          <w:lang w:val="hy-AM"/>
        </w:rPr>
      </w:pPr>
    </w:p>
    <w:p w:rsidR="00F147A6" w:rsidRPr="00C14180" w:rsidRDefault="00F147A6" w:rsidP="00F147A6">
      <w:pPr>
        <w:rPr>
          <w:rFonts w:ascii="GHEA Grapalat" w:hAnsi="GHEA Grapalat"/>
          <w:lang w:val="hy-AM"/>
        </w:rPr>
      </w:pPr>
    </w:p>
    <w:bookmarkEnd w:id="0"/>
    <w:p w:rsidR="00FF6A70" w:rsidRPr="00C14180" w:rsidRDefault="00FF6A70">
      <w:pPr>
        <w:rPr>
          <w:rFonts w:ascii="GHEA Grapalat" w:hAnsi="GHEA Grapalat"/>
          <w:lang w:val="hy-AM"/>
        </w:rPr>
      </w:pPr>
    </w:p>
    <w:sectPr w:rsidR="00FF6A70" w:rsidRPr="00C14180" w:rsidSect="00286873">
      <w:pgSz w:w="12240" w:h="15840"/>
      <w:pgMar w:top="1134" w:right="758"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F147A6"/>
    <w:rsid w:val="00286873"/>
    <w:rsid w:val="00666C05"/>
    <w:rsid w:val="00C14180"/>
    <w:rsid w:val="00D245CF"/>
    <w:rsid w:val="00F147A6"/>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C2BDA-271E-4273-ACA9-4FDFCE45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147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147A6"/>
    <w:rPr>
      <w:b/>
      <w:bCs/>
    </w:rPr>
  </w:style>
  <w:style w:type="paragraph" w:styleId="BalloonText">
    <w:name w:val="Balloon Text"/>
    <w:basedOn w:val="Normal"/>
    <w:link w:val="BalloonTextChar"/>
    <w:uiPriority w:val="99"/>
    <w:semiHidden/>
    <w:unhideWhenUsed/>
    <w:rsid w:val="00666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1107">
      <w:bodyDiv w:val="1"/>
      <w:marLeft w:val="0"/>
      <w:marRight w:val="0"/>
      <w:marTop w:val="0"/>
      <w:marBottom w:val="0"/>
      <w:divBdr>
        <w:top w:val="none" w:sz="0" w:space="0" w:color="auto"/>
        <w:left w:val="none" w:sz="0" w:space="0" w:color="auto"/>
        <w:bottom w:val="none" w:sz="0" w:space="0" w:color="auto"/>
        <w:right w:val="none" w:sz="0" w:space="0" w:color="auto"/>
      </w:divBdr>
    </w:div>
    <w:div w:id="14624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andranik.muradyan</dc:creator>
  <cp:keywords/>
  <dc:description/>
  <cp:lastModifiedBy>Lusine Miqayelyan</cp:lastModifiedBy>
  <cp:revision>8</cp:revision>
  <cp:lastPrinted>2017-11-28T12:33:00Z</cp:lastPrinted>
  <dcterms:created xsi:type="dcterms:W3CDTF">2017-11-24T06:38:00Z</dcterms:created>
  <dcterms:modified xsi:type="dcterms:W3CDTF">2017-11-28T12:56:00Z</dcterms:modified>
</cp:coreProperties>
</file>