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562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071"/>
      </w:tblGrid>
      <w:tr w:rsidR="003B357F" w:rsidRPr="001145FE" w:rsidTr="003B357F">
        <w:trPr>
          <w:trHeight w:val="179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FE" w:rsidRDefault="003B357F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1. &lt;1988-1992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թվականներին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Ադրբեջանի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Հանրապետությունից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բռնագաղթած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և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Հայաստանի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Հանրապետության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քաղաքացիություն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ստացած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անձանց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կողմից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զբաղեցրած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բնակելի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տարածքները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սեփականաշնորհելու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մասին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&gt;  </w:t>
            </w:r>
          </w:p>
          <w:p w:rsidR="003B357F" w:rsidRPr="001145FE" w:rsidRDefault="003B357F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ՀՀ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կառավարության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որոշման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նախագծի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հիմնավորում</w:t>
            </w:r>
            <w:proofErr w:type="spellEnd"/>
          </w:p>
        </w:tc>
      </w:tr>
      <w:tr w:rsidR="003B357F" w:rsidRPr="001145FE" w:rsidTr="003B357F">
        <w:trPr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tabs>
                <w:tab w:val="left" w:pos="10620"/>
              </w:tabs>
              <w:spacing w:line="276" w:lineRule="auto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1.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tabs>
                <w:tab w:val="left" w:pos="10620"/>
              </w:tabs>
              <w:spacing w:line="276" w:lineRule="auto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Անհրաժեշտությունը</w:t>
            </w:r>
            <w:proofErr w:type="spellEnd"/>
          </w:p>
        </w:tc>
      </w:tr>
      <w:tr w:rsidR="003B357F" w:rsidRPr="001145FE" w:rsidTr="003B35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7F" w:rsidRPr="001145FE" w:rsidRDefault="003B357F">
            <w:pPr>
              <w:tabs>
                <w:tab w:val="left" w:pos="10620"/>
              </w:tabs>
              <w:spacing w:line="276" w:lineRule="auto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32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Սույն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որոշման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ընդունման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անհրաժեշտությունը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բխում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է &lt;1988-1992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թվականներին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Ադրբեջանի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Հանրապետությունից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բռնագաղթած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և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Հայաստանի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Հանրապետության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քաղաքացիություն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ստացած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անձանց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իրավական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և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սոցիալ-տնտեսական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երաշխիքների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մասին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&gt;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Հայաստանի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Հանրապետության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օրենքի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և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Հայաստանի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Հանրապետության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2001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թվականի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մայիսի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14-ի N 404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որոշման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կատարումից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՝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Հայաստանի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Հանրապետության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տարածքում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հանրակացարանային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կացարաններում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բնակվող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Ադրբեջանի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Հանրապետությունից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բռնագաղթած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և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Հայաստանի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Հանրապետության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քաղաքացիություն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ստացած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ընտանիքների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սոցիալ-տնտեսական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և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իրավական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երաշխիքների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ապահովման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անհրաժեշտությունից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:</w:t>
            </w:r>
          </w:p>
        </w:tc>
      </w:tr>
      <w:tr w:rsidR="003B357F" w:rsidRPr="001145FE" w:rsidTr="003B35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2.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Ընթացիկ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իրավիճակը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և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խնդիրները</w:t>
            </w:r>
            <w:proofErr w:type="spellEnd"/>
          </w:p>
        </w:tc>
      </w:tr>
      <w:tr w:rsidR="003B357F" w:rsidRPr="001145FE" w:rsidTr="003B357F">
        <w:trPr>
          <w:trHeight w:val="10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98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&lt;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Հայաստանի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Հանրապետության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կառավարությանն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առընթեր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պետական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գույքի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կառավարման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վարչության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աշխատակազմ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&gt;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պետական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կառավարչական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հիմնարկին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ամրացված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՝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Երևան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քաղաքի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Աճառյան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20/3,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Շիրակի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2ա/7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հասցեներում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գտնվող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հանրակացարաններում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և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Մոլդովական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փողոց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70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հասցեի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թիվ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1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հանրակացարանային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մասնաշենքում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/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ներկայիս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`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Մոլդովական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29/1/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բնակվող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` 1988-1992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թվականներին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Ադրբեջանի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Հանրապետությունից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բռնագաղթած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և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Հայաստանի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Հանրապետության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քաղաքացիություն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ստացած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բնակիչները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դիմել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են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ՀՀ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կառավարությանն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առընթեր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պետական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գույքի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կառավարման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վարչություն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`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իրենց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կողմից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զբաղեցրած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բնակելի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տարածքները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սեփականաշնորհելու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խնդրանքով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: </w:t>
            </w:r>
          </w:p>
          <w:p w:rsidR="003B357F" w:rsidRPr="001145FE" w:rsidRDefault="003B357F">
            <w:pPr>
              <w:spacing w:line="276" w:lineRule="auto"/>
              <w:ind w:firstLine="498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Երևան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քաղաքի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Աճառյան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20/3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հասցեի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հանրակացարանի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թիվ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329 և 330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սենյակները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/38քմ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մակերեսով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/ 2011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թվականի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հունիսի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30-ի ՀՀ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թիվ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915-Ա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որոշմամբ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առաջարկվել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էր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սեփականաշնորհման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քաղաքացի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Օֆելիյա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Գրիգորյանին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,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սակայն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վերջինիս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հետ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պայմանագիր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չի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կնքվել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սենյակների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մակերեսների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անհամապատասխանության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հետ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կապված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:</w:t>
            </w:r>
          </w:p>
          <w:p w:rsidR="003B357F" w:rsidRPr="001145FE" w:rsidRDefault="003B357F">
            <w:pPr>
              <w:spacing w:line="276" w:lineRule="auto"/>
              <w:ind w:firstLine="317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Ներկայացված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փաստաթղթերի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հիման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վրա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,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հիմք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ընդունելով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Հայաստանի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Հանրապետության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2001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թվականի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մայիսի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14-ի N 404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որոշման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պահանջները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, ՀՀ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կառավարությանն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առընթեր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պետական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գույքի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կառավարման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վարչության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կողմից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մշակվել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է &lt;1988-1992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թվականներին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Ադրբեջանի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Հանրապետությունից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բռնագաղթած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և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Հայաստանի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Հանրապետության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քաղաքացիություն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ստացած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անձանց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կողմից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զբաղեցրած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բնակելի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տարածքները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սեփականաշնորհելու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մասին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&gt; ՀՀ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որոշման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նախագիծը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:</w:t>
            </w:r>
          </w:p>
        </w:tc>
      </w:tr>
      <w:tr w:rsidR="003B357F" w:rsidRPr="001145FE" w:rsidTr="003B35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lastRenderedPageBreak/>
              <w:t>3.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Տվյալ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բնագավառում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իրականացվող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քաղաքականությունը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</w:p>
        </w:tc>
      </w:tr>
      <w:tr w:rsidR="003B357F" w:rsidRPr="001145FE" w:rsidTr="003B35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Ապահովել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երկար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տարիներ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հանրակացարաններում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բնակվող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փախստական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ընտանիքներին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բնակարանով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:</w:t>
            </w:r>
          </w:p>
        </w:tc>
      </w:tr>
      <w:tr w:rsidR="003B357F" w:rsidRPr="001145FE" w:rsidTr="003B35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4.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Կարգավորման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նպատակը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և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բնույթը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</w:p>
        </w:tc>
      </w:tr>
      <w:tr w:rsidR="003B357F" w:rsidRPr="001145FE" w:rsidTr="003B357F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/>
                <w:bCs/>
                <w:color w:val="000000"/>
                <w:lang w:val="fr-FR"/>
              </w:rPr>
              <w:t xml:space="preserve">  </w:t>
            </w:r>
            <w:r w:rsidRPr="001145FE">
              <w:rPr>
                <w:rFonts w:ascii="GHEA Grapalat" w:hAnsi="GHEA Grapalat"/>
                <w:bCs/>
                <w:color w:val="000000"/>
              </w:rPr>
              <w:t>ՀՀ</w:t>
            </w:r>
            <w:r w:rsidRPr="001145FE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օրենսդրության</w:t>
            </w:r>
            <w:r w:rsidRPr="001145FE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սահմաններում</w:t>
            </w:r>
            <w:r w:rsidRPr="001145FE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AU"/>
              </w:rPr>
              <w:t>իրականացնել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բնակելի</w:t>
            </w:r>
            <w:r w:rsidRPr="001145FE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տարածք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ներ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>ի</w:t>
            </w:r>
            <w:r w:rsidRPr="001145FE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սեփականաշնորհում</w:t>
            </w:r>
            <w:r w:rsidRPr="001145FE">
              <w:rPr>
                <w:rFonts w:ascii="GHEA Grapalat" w:hAnsi="GHEA Grapalat"/>
                <w:bCs/>
                <w:color w:val="000000"/>
                <w:lang w:val="fr-FR"/>
              </w:rPr>
              <w:t xml:space="preserve">,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ապահովելով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Ադրբեջանի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Հանրապետությունից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բռնագաղթած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և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Հայաստանի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Հանրապետության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քաղաքացիություն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ստացած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անձանց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՝</w:t>
            </w:r>
            <w:r w:rsidRPr="001145FE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մշտական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բնակարաններով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>։</w:t>
            </w:r>
          </w:p>
        </w:tc>
      </w:tr>
      <w:tr w:rsidR="003B357F" w:rsidRPr="001145FE" w:rsidTr="003B35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5.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Նախագծի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մշակման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գործընթացում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ներգրավված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ինստիտուտները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և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անձիք</w:t>
            </w:r>
            <w:proofErr w:type="spellEnd"/>
          </w:p>
        </w:tc>
      </w:tr>
      <w:tr w:rsidR="003B357F" w:rsidRPr="001145FE" w:rsidTr="003B35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Նախագիծը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մշակվել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է ՀՀ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կառավարությանն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առընթեր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պետական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գույքի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կառավարման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վարչության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պետական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գույքի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կառավարման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քաղաքականության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վարչության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կողմից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:</w:t>
            </w:r>
          </w:p>
        </w:tc>
      </w:tr>
      <w:tr w:rsidR="003B357F" w:rsidRPr="001145FE" w:rsidTr="003B35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6.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Ակնկալվող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արդյունքը</w:t>
            </w:r>
            <w:proofErr w:type="spellEnd"/>
          </w:p>
        </w:tc>
      </w:tr>
      <w:tr w:rsidR="003B357F" w:rsidRPr="001145FE" w:rsidTr="003B35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Բնակչության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կենցաղային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պայմանների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բարելավումը</w:t>
            </w:r>
            <w:proofErr w:type="spellEnd"/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: </w:t>
            </w:r>
          </w:p>
        </w:tc>
      </w:tr>
      <w:tr w:rsidR="003B357F" w:rsidRPr="001145FE" w:rsidTr="003B35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>7.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Այլ</w:t>
            </w:r>
            <w:proofErr w:type="spellEnd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1145FE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տեղեկություններ</w:t>
            </w:r>
            <w:proofErr w:type="spellEnd"/>
          </w:p>
        </w:tc>
      </w:tr>
      <w:tr w:rsidR="003B357F" w:rsidRPr="001145FE" w:rsidTr="003B35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1145FE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---------------------- </w:t>
            </w:r>
          </w:p>
        </w:tc>
      </w:tr>
    </w:tbl>
    <w:p w:rsidR="003B357F" w:rsidRDefault="003B357F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p w:rsidR="001145FE" w:rsidRDefault="001145FE" w:rsidP="001145FE">
      <w:pPr>
        <w:spacing w:line="276" w:lineRule="auto"/>
        <w:jc w:val="center"/>
        <w:rPr>
          <w:rFonts w:ascii="GHEA Grapalat" w:hAnsi="GHEA Grapalat" w:cs="Times New Roman"/>
          <w:b/>
          <w:iCs/>
          <w:color w:val="000000"/>
          <w:lang w:val="hy-AM"/>
        </w:rPr>
      </w:pPr>
    </w:p>
    <w:p w:rsidR="001145FE" w:rsidRPr="001145FE" w:rsidRDefault="001145FE" w:rsidP="001145FE">
      <w:pPr>
        <w:spacing w:line="276" w:lineRule="auto"/>
        <w:jc w:val="center"/>
        <w:rPr>
          <w:rFonts w:ascii="GHEA Grapalat" w:hAnsi="GHEA Grapalat" w:cs="Times New Roman"/>
          <w:b/>
          <w:iCs/>
          <w:color w:val="000000"/>
          <w:lang w:val="hy-AM"/>
        </w:rPr>
      </w:pPr>
      <w:r w:rsidRPr="001145FE">
        <w:rPr>
          <w:rFonts w:ascii="GHEA Grapalat" w:hAnsi="GHEA Grapalat" w:cs="Times New Roman"/>
          <w:b/>
          <w:iCs/>
          <w:color w:val="000000"/>
          <w:lang w:val="hy-AM"/>
        </w:rPr>
        <w:lastRenderedPageBreak/>
        <w:t>ՏԵՂԵԿԱՆՔՆԵՐ</w:t>
      </w:r>
      <w:bookmarkStart w:id="0" w:name="_GoBack"/>
      <w:bookmarkEnd w:id="0"/>
    </w:p>
    <w:p w:rsidR="001145FE" w:rsidRPr="001145FE" w:rsidRDefault="001145FE" w:rsidP="003B357F">
      <w:pPr>
        <w:spacing w:line="276" w:lineRule="auto"/>
        <w:rPr>
          <w:rFonts w:ascii="GHEA Grapalat" w:hAnsi="GHEA Grapalat" w:cs="Times New Roman"/>
          <w:iCs/>
          <w:color w:val="000000"/>
          <w:lang w:val="fr-FR"/>
        </w:rPr>
      </w:pPr>
    </w:p>
    <w:tbl>
      <w:tblPr>
        <w:tblW w:w="11305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585"/>
      </w:tblGrid>
      <w:tr w:rsidR="003B357F" w:rsidRPr="001145FE" w:rsidTr="001145FE">
        <w:tc>
          <w:tcPr>
            <w:tcW w:w="1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/>
                <w:kern w:val="16"/>
                <w:lang w:val="fr-FR"/>
              </w:rPr>
            </w:pPr>
            <w:r w:rsidRPr="001145FE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2.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Պետական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բյուջեում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տեղական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ինքնակառավարման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մարմինների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բյուջեների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վրա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ազդեցությունը</w:t>
            </w:r>
          </w:p>
        </w:tc>
      </w:tr>
      <w:tr w:rsidR="003B357F" w:rsidRPr="001145FE" w:rsidTr="001145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7F" w:rsidRPr="001145FE" w:rsidRDefault="003B357F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kern w:val="16"/>
                <w:lang w:val="fr-FR"/>
              </w:rPr>
            </w:pPr>
          </w:p>
        </w:tc>
        <w:tc>
          <w:tcPr>
            <w:tcW w:w="10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&lt;1988-1992 </w:t>
            </w:r>
            <w:r w:rsidRPr="001145FE">
              <w:rPr>
                <w:rFonts w:ascii="GHEA Grapalat" w:hAnsi="GHEA Grapalat"/>
                <w:color w:val="000000"/>
              </w:rPr>
              <w:t>թվականներին</w:t>
            </w:r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color w:val="000000"/>
              </w:rPr>
              <w:t>Ադրբեջանի</w:t>
            </w:r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color w:val="000000"/>
              </w:rPr>
              <w:t>Հանրապետությունից</w:t>
            </w:r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color w:val="000000"/>
              </w:rPr>
              <w:t>բռնագաղթած</w:t>
            </w:r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color w:val="000000"/>
              </w:rPr>
              <w:t>և</w:t>
            </w:r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color w:val="000000"/>
                <w:lang w:val="en-AU"/>
              </w:rPr>
              <w:t>Հայաստանի</w:t>
            </w:r>
            <w:proofErr w:type="spellEnd"/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color w:val="000000"/>
                <w:lang w:val="en-AU"/>
              </w:rPr>
              <w:t>Հանրապետության</w:t>
            </w:r>
            <w:proofErr w:type="spellEnd"/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color w:val="000000"/>
                <w:lang w:val="en-AU"/>
              </w:rPr>
              <w:t>քաղաքացիություն</w:t>
            </w:r>
            <w:proofErr w:type="spellEnd"/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color w:val="000000"/>
                <w:lang w:val="en-AU"/>
              </w:rPr>
              <w:t>ստացած</w:t>
            </w:r>
            <w:proofErr w:type="spellEnd"/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color w:val="000000"/>
                <w:lang w:val="en-AU"/>
              </w:rPr>
              <w:t>ան</w:t>
            </w:r>
            <w:proofErr w:type="spellEnd"/>
            <w:r w:rsidRPr="001145FE">
              <w:rPr>
                <w:rFonts w:ascii="GHEA Grapalat" w:hAnsi="GHEA Grapalat"/>
                <w:color w:val="000000"/>
              </w:rPr>
              <w:t>ձ</w:t>
            </w:r>
            <w:proofErr w:type="spellStart"/>
            <w:r w:rsidRPr="001145FE">
              <w:rPr>
                <w:rFonts w:ascii="GHEA Grapalat" w:hAnsi="GHEA Grapalat"/>
                <w:color w:val="000000"/>
                <w:lang w:val="en-US"/>
              </w:rPr>
              <w:t>անց</w:t>
            </w:r>
            <w:proofErr w:type="spellEnd"/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color w:val="000000"/>
                <w:lang w:val="en-AU"/>
              </w:rPr>
              <w:t>կողմից</w:t>
            </w:r>
            <w:proofErr w:type="spellEnd"/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color w:val="000000"/>
                <w:lang w:val="en-AU"/>
              </w:rPr>
              <w:t>զբաղեցրած</w:t>
            </w:r>
            <w:proofErr w:type="spellEnd"/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color w:val="000000"/>
                <w:lang w:val="en-AU"/>
              </w:rPr>
              <w:t>բնակելի</w:t>
            </w:r>
            <w:proofErr w:type="spellEnd"/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color w:val="000000"/>
                <w:lang w:val="en-AU"/>
              </w:rPr>
              <w:t>տարածքները</w:t>
            </w:r>
            <w:proofErr w:type="spellEnd"/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color w:val="000000"/>
                <w:lang w:val="en-AU"/>
              </w:rPr>
              <w:t>սեփականաշնորհելու</w:t>
            </w:r>
            <w:proofErr w:type="spellEnd"/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color w:val="000000"/>
                <w:lang w:val="en-AU"/>
              </w:rPr>
              <w:t>մասին</w:t>
            </w:r>
            <w:proofErr w:type="spellEnd"/>
            <w:r w:rsidRPr="001145FE">
              <w:rPr>
                <w:rFonts w:ascii="GHEA Grapalat" w:hAnsi="GHEA Grapalat"/>
                <w:color w:val="000000"/>
                <w:lang w:val="pt-BR"/>
              </w:rPr>
              <w:t xml:space="preserve">&gt; </w:t>
            </w:r>
            <w:r w:rsidRPr="001145FE">
              <w:rPr>
                <w:rFonts w:ascii="GHEA Grapalat" w:hAnsi="GHEA Grapalat"/>
                <w:bCs/>
                <w:color w:val="000000"/>
              </w:rPr>
              <w:t>ՀՀ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կառավարության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որոշման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նախագծի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ընդունման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կապակցությամբ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պետական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և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տեղական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ինքնակառավարման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մարմինների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բյուջեներում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ծախսերի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և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եկամուտների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էական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ավելացում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և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նվազեցում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չի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</w:rPr>
              <w:t>նախատեսվում</w:t>
            </w:r>
            <w:r w:rsidRPr="001145FE">
              <w:rPr>
                <w:rFonts w:ascii="GHEA Grapalat" w:hAnsi="GHEA Grapalat"/>
                <w:bCs/>
                <w:color w:val="000000"/>
                <w:lang w:val="pt-BR"/>
              </w:rPr>
              <w:t>:</w:t>
            </w:r>
          </w:p>
        </w:tc>
      </w:tr>
    </w:tbl>
    <w:p w:rsidR="003B357F" w:rsidRPr="001145FE" w:rsidRDefault="003B357F" w:rsidP="003B357F">
      <w:pPr>
        <w:spacing w:line="276" w:lineRule="auto"/>
        <w:ind w:hanging="540"/>
        <w:jc w:val="center"/>
        <w:rPr>
          <w:rFonts w:ascii="GHEA Grapalat" w:hAnsi="GHEA Grapalat"/>
          <w:bCs/>
          <w:color w:val="000000"/>
          <w:kern w:val="16"/>
          <w:lang w:val="af-ZA"/>
        </w:rPr>
      </w:pPr>
    </w:p>
    <w:tbl>
      <w:tblPr>
        <w:tblW w:w="11197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477"/>
      </w:tblGrid>
      <w:tr w:rsidR="003B357F" w:rsidRPr="001145FE" w:rsidTr="001145FE">
        <w:tc>
          <w:tcPr>
            <w:tcW w:w="1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/>
                <w:kern w:val="16"/>
                <w:lang w:val="pt-BR"/>
              </w:rPr>
            </w:pP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3. 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Նախագծի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ընդունման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առնչությամբ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ընդունվելիք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այլ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իրավական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ակտերի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դրանց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ընդունման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անհրաժեշտության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բացակայության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մասին</w:t>
            </w:r>
            <w:r w:rsidRPr="001145FE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1145FE">
              <w:rPr>
                <w:rFonts w:ascii="GHEA Grapalat" w:hAnsi="GHEA Grapalat"/>
                <w:b/>
                <w:bCs/>
                <w:color w:val="000000"/>
              </w:rPr>
              <w:t>տեղեկանք</w:t>
            </w:r>
          </w:p>
        </w:tc>
      </w:tr>
      <w:tr w:rsidR="003B357F" w:rsidRPr="001145FE" w:rsidTr="001145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1145FE">
              <w:rPr>
                <w:rFonts w:ascii="GHEA Grapalat" w:hAnsi="GHEA Grapalat"/>
                <w:bCs/>
                <w:color w:val="000000"/>
              </w:rPr>
              <w:t>1.</w:t>
            </w:r>
          </w:p>
        </w:tc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1145FE">
              <w:rPr>
                <w:rFonts w:ascii="GHEA Grapalat" w:hAnsi="GHEA Grapalat"/>
                <w:bCs/>
                <w:color w:val="000000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3B357F" w:rsidRPr="001145FE" w:rsidTr="001145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1145FE">
              <w:rPr>
                <w:rFonts w:ascii="GHEA Grapalat" w:hAnsi="GHEA Grapalat"/>
                <w:bCs/>
                <w:color w:val="000000"/>
              </w:rPr>
              <w:t>2.</w:t>
            </w:r>
          </w:p>
        </w:tc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1145FE">
              <w:rPr>
                <w:rFonts w:ascii="GHEA Grapalat" w:hAnsi="GHEA Grapalat"/>
                <w:b/>
                <w:bCs/>
                <w:color w:val="000000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3B357F" w:rsidRPr="001145FE" w:rsidTr="001145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7F" w:rsidRPr="001145FE" w:rsidRDefault="003B357F">
            <w:pPr>
              <w:spacing w:line="276" w:lineRule="auto"/>
              <w:rPr>
                <w:rFonts w:ascii="GHEA Grapalat" w:hAnsi="GHEA Grapalat"/>
                <w:bCs/>
                <w:color w:val="000000"/>
                <w:kern w:val="16"/>
              </w:rPr>
            </w:pPr>
          </w:p>
        </w:tc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1145FE">
              <w:rPr>
                <w:rFonts w:ascii="GHEA Grapalat" w:hAnsi="GHEA Grapalat"/>
                <w:bCs/>
                <w:color w:val="000000"/>
              </w:rPr>
              <w:t>-----------</w:t>
            </w:r>
          </w:p>
        </w:tc>
      </w:tr>
      <w:tr w:rsidR="003B357F" w:rsidRPr="001145FE" w:rsidTr="001145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1145FE">
              <w:rPr>
                <w:rFonts w:ascii="GHEA Grapalat" w:hAnsi="GHEA Grapalat"/>
                <w:bCs/>
                <w:color w:val="000000"/>
              </w:rPr>
              <w:t>3.</w:t>
            </w:r>
          </w:p>
        </w:tc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1145FE">
              <w:rPr>
                <w:rFonts w:ascii="GHEA Grapalat" w:hAnsi="GHEA Grapalat"/>
                <w:b/>
                <w:bCs/>
                <w:color w:val="000000"/>
              </w:rPr>
              <w:t>Այլ տեղեկություններ</w:t>
            </w:r>
          </w:p>
        </w:tc>
      </w:tr>
    </w:tbl>
    <w:p w:rsidR="003B357F" w:rsidRPr="001145FE" w:rsidRDefault="003B357F" w:rsidP="003B357F">
      <w:pPr>
        <w:spacing w:line="276" w:lineRule="auto"/>
        <w:ind w:left="-630"/>
        <w:jc w:val="right"/>
        <w:rPr>
          <w:rFonts w:ascii="GHEA Grapalat" w:hAnsi="GHEA Grapalat"/>
          <w:b/>
          <w:lang w:val="en-US"/>
        </w:rPr>
      </w:pPr>
    </w:p>
    <w:tbl>
      <w:tblPr>
        <w:tblW w:w="11274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4"/>
      </w:tblGrid>
      <w:tr w:rsidR="003B357F" w:rsidRPr="001145FE" w:rsidTr="001145FE">
        <w:tc>
          <w:tcPr>
            <w:tcW w:w="1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1145FE">
              <w:rPr>
                <w:rFonts w:ascii="GHEA Grapalat" w:hAnsi="GHEA Grapalat"/>
                <w:b/>
                <w:bCs/>
                <w:color w:val="000000"/>
              </w:rPr>
              <w:t>4. Տեղեկանք հասարակության մասնակցության մասին</w:t>
            </w:r>
          </w:p>
        </w:tc>
      </w:tr>
      <w:tr w:rsidR="003B357F" w:rsidRPr="001145FE" w:rsidTr="001145FE">
        <w:tc>
          <w:tcPr>
            <w:tcW w:w="1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1145FE">
              <w:rPr>
                <w:rFonts w:ascii="GHEA Grapalat" w:hAnsi="GHEA Grapalat"/>
                <w:b/>
                <w:bCs/>
                <w:color w:val="000000"/>
              </w:rPr>
              <w:t>Հասարակությանը նախագծի վերաբերյալ իրազեկումը</w:t>
            </w:r>
          </w:p>
        </w:tc>
      </w:tr>
      <w:tr w:rsidR="003B357F" w:rsidRPr="001145FE" w:rsidTr="001145FE">
        <w:tc>
          <w:tcPr>
            <w:tcW w:w="1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ind w:right="459"/>
              <w:rPr>
                <w:rFonts w:ascii="GHEA Grapalat" w:hAnsi="GHEA Grapalat"/>
                <w:bCs/>
                <w:color w:val="000000"/>
                <w:kern w:val="16"/>
                <w:highlight w:val="yellow"/>
              </w:rPr>
            </w:pP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Նախագծի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էլեկտրոնային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տարբերակը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,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մինչև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նախագիծը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ՀՀ</w:t>
            </w:r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կառավարության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նիստի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քննարկմանը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ներկայացնելը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,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տեղադրվում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է</w:t>
            </w:r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ՀՀ</w:t>
            </w:r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կառավարության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ինտերնետային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կայքում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` </w:t>
            </w:r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e</w:t>
            </w:r>
            <w:r w:rsidRPr="001145FE">
              <w:rPr>
                <w:rFonts w:ascii="GHEA Grapalat" w:hAnsi="GHEA Grapalat"/>
                <w:bCs/>
                <w:color w:val="000000"/>
              </w:rPr>
              <w:t>-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gov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>.</w:t>
            </w:r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am</w:t>
            </w:r>
            <w:r w:rsidRPr="001145FE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1145FE">
              <w:rPr>
                <w:rFonts w:ascii="GHEA Grapalat" w:hAnsi="GHEA Grapalat"/>
                <w:bCs/>
                <w:color w:val="000000"/>
                <w:lang w:val="en-US"/>
              </w:rPr>
              <w:t>հասցեում</w:t>
            </w:r>
            <w:proofErr w:type="spellEnd"/>
            <w:r w:rsidRPr="001145FE">
              <w:rPr>
                <w:rFonts w:ascii="GHEA Grapalat" w:hAnsi="GHEA Grapalat"/>
                <w:bCs/>
                <w:color w:val="000000"/>
              </w:rPr>
              <w:t xml:space="preserve">: </w:t>
            </w:r>
          </w:p>
        </w:tc>
      </w:tr>
      <w:tr w:rsidR="003B357F" w:rsidRPr="001145FE" w:rsidTr="001145FE">
        <w:tc>
          <w:tcPr>
            <w:tcW w:w="1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1145FE">
              <w:rPr>
                <w:rFonts w:ascii="GHEA Grapalat" w:hAnsi="GHEA Grapalat"/>
                <w:b/>
                <w:bCs/>
                <w:color w:val="000000"/>
              </w:rPr>
              <w:t>Հասարակության մասնակցությունը նախագծմանը և /կամ քննարկումներին</w:t>
            </w:r>
          </w:p>
        </w:tc>
      </w:tr>
      <w:tr w:rsidR="003B357F" w:rsidRPr="001145FE" w:rsidTr="001145FE">
        <w:tc>
          <w:tcPr>
            <w:tcW w:w="1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1145FE">
              <w:rPr>
                <w:rFonts w:ascii="GHEA Grapalat" w:hAnsi="GHEA Grapalat"/>
                <w:b/>
                <w:bCs/>
                <w:color w:val="000000"/>
              </w:rPr>
              <w:t xml:space="preserve"> --------</w:t>
            </w:r>
          </w:p>
        </w:tc>
      </w:tr>
      <w:tr w:rsidR="003B357F" w:rsidRPr="001145FE" w:rsidTr="001145FE">
        <w:tc>
          <w:tcPr>
            <w:tcW w:w="1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7F" w:rsidRPr="001145FE" w:rsidRDefault="003B357F">
            <w:pPr>
              <w:spacing w:line="276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1145FE">
              <w:rPr>
                <w:rFonts w:ascii="GHEA Grapalat" w:hAnsi="GHEA Grapalat"/>
                <w:b/>
                <w:bCs/>
                <w:color w:val="000000"/>
              </w:rPr>
              <w:t>Այլ տեղեկություններ</w:t>
            </w:r>
          </w:p>
        </w:tc>
      </w:tr>
    </w:tbl>
    <w:p w:rsidR="00027594" w:rsidRPr="001145FE" w:rsidRDefault="00027594" w:rsidP="001145FE"/>
    <w:sectPr w:rsidR="00027594" w:rsidRPr="00114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DA"/>
    <w:rsid w:val="00027594"/>
    <w:rsid w:val="001145FE"/>
    <w:rsid w:val="003B357F"/>
    <w:rsid w:val="00C6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5DCFD-6C08-4087-9212-7432D701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7F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5</cp:revision>
  <dcterms:created xsi:type="dcterms:W3CDTF">2016-11-29T09:10:00Z</dcterms:created>
  <dcterms:modified xsi:type="dcterms:W3CDTF">2016-11-29T09:15:00Z</dcterms:modified>
</cp:coreProperties>
</file>