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CF" w:rsidRPr="00FA6619" w:rsidRDefault="002124CF" w:rsidP="00212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FA661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ՀԻՄՆԱՎՈՐՈՒՄ</w:t>
      </w:r>
    </w:p>
    <w:p w:rsidR="002124CF" w:rsidRPr="00FA6619" w:rsidRDefault="002124CF" w:rsidP="002124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FA661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«ԽԱՂԱՂ ՆՊԱՏԱԿՆԵՐՈՎ ԱՏՈՄԱՅԻՆ ԷՆԵՐԳԻԱՅԻ ԱՆՎՏԱՆԳ ՕԳՏԱԳՈՐԾՄԱՆ ՄԱՍԻՆ» ՀԱՅԱՍՏԱՆԻ ՀԱՆՐԱՊԵՏՈՒԹՅԱՆ ՕՐԵՆՔՈՒՄ </w:t>
      </w:r>
      <w:r w:rsidR="00FA661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ԼՐԱՑՈՒՄՆԵՐ Ե</w:t>
      </w:r>
      <w:r w:rsidR="00FA661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Վ</w:t>
      </w:r>
      <w:r w:rsidRPr="00FA661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ՓՈՓՈԽՈՒԹՅՈՒՆՆԵՐ ԿԱՏԱՐԵԼՈՒ ՄԱՍԻՆ» ՀԱՅԱՍՏԱՆԻ ՀԱՆՐԱՊԵՏՈՒԹՅԱՆ ՕՐԵՆՔԻ ՆԱԽԱԳԾԻ </w:t>
      </w:r>
      <w:r w:rsidRPr="00FA66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ԸՆԴՈՒՆՄԱՆ ԱՆՀՐԱԺԵՇՏՈՒԹՅԱՆ ՎԵՐԱԲԵՐՅԱԼ</w:t>
      </w:r>
    </w:p>
    <w:p w:rsidR="002124CF" w:rsidRPr="00FA6619" w:rsidRDefault="002124CF" w:rsidP="005B5BE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FA661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1. Անհրաժեշտությունը</w:t>
      </w:r>
    </w:p>
    <w:p w:rsidR="00FA6619" w:rsidRDefault="002124CF" w:rsidP="00FA66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FA661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Վերոհիշյալ օրենքի ընդունումը պայմանավորված է 2015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թվականի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դեկտեմբերի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6-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ին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435">
        <w:rPr>
          <w:rFonts w:ascii="GHEA Grapalat" w:hAnsi="GHEA Grapalat" w:cs="Sylfaen"/>
          <w:bCs/>
          <w:iCs/>
          <w:sz w:val="24"/>
          <w:szCs w:val="24"/>
          <w:lang w:val="hy-AM"/>
        </w:rPr>
        <w:t>ընդունվ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>ած</w:t>
      </w:r>
      <w:r w:rsidRPr="00FB7435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435">
        <w:rPr>
          <w:rFonts w:ascii="GHEA Grapalat" w:hAnsi="GHEA Grapalat" w:cs="Sylfaen"/>
          <w:bCs/>
          <w:iCs/>
          <w:sz w:val="24"/>
          <w:szCs w:val="24"/>
          <w:lang w:val="hy-AM"/>
        </w:rPr>
        <w:t>ՀՀ</w:t>
      </w:r>
      <w:r w:rsidRPr="00FB7435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435">
        <w:rPr>
          <w:rFonts w:ascii="GHEA Grapalat" w:hAnsi="GHEA Grapalat" w:cs="Sylfaen"/>
          <w:bCs/>
          <w:iCs/>
          <w:sz w:val="24"/>
          <w:szCs w:val="24"/>
          <w:lang w:val="hy-AM"/>
        </w:rPr>
        <w:t>Սահմանադրությ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ան փոփոխությամբ, որը հռչակելով ՀՀ կառավարությունը, որպես գործադիր իշխանության բարձրագույն մարմին, սահմանում է գործադիր իշխանության երկու հիմնական գործառույթներ՝ քաղաքականության սահմանում </w:t>
      </w:r>
      <w:r w:rsidR="00FA6619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պետական կառավարում: </w:t>
      </w:r>
    </w:p>
    <w:p w:rsidR="002124CF" w:rsidRPr="00FA6619" w:rsidRDefault="002124CF" w:rsidP="00FA66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Կառավարությունն իրականացնում է բազմաբնույթ գործառույթներ </w:t>
      </w:r>
      <w:r w:rsidR="00FA6619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լիազորություններ պետական կառավարման բոլոր բնագավառներում, այդ թվում նաեւ՝ ատոմային էներգիայի օգտագործման բնագավառում: Հաշվի առնելով, որ ՀՀ Սահմանդրության 146-րդ հոդվածի 4-րդ մասը նախատեսում է, որ ՀՀ կառավարության լիազորությունները սահմանվում են Սահմանադրությամբ </w:t>
      </w:r>
      <w:r w:rsidR="00FA6619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օրենքներով, անհրաժեշտություն է առաջացել Սահմանադրությունից բխող համապատասխան փոփոխություններ կատարել «Խաղաղ նպատակներով ատոմային էներգիայի անվտանգ օգտագործման մասին» ՀՀ օրենքում:</w:t>
      </w:r>
    </w:p>
    <w:p w:rsidR="002124CF" w:rsidRPr="00FA6619" w:rsidRDefault="002124CF" w:rsidP="00FA66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Միաժամանակ, </w:t>
      </w:r>
      <w:r w:rsidRPr="00FB7435">
        <w:rPr>
          <w:rFonts w:ascii="GHEA Grapalat" w:hAnsi="GHEA Grapalat" w:cs="Sylfaen"/>
          <w:bCs/>
          <w:iCs/>
          <w:sz w:val="24"/>
          <w:szCs w:val="24"/>
          <w:lang w:val="hy-AM"/>
        </w:rPr>
        <w:t>ՀՀ</w:t>
      </w:r>
      <w:r w:rsidRPr="00FB7435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435">
        <w:rPr>
          <w:rFonts w:ascii="GHEA Grapalat" w:hAnsi="GHEA Grapalat" w:cs="Sylfaen"/>
          <w:bCs/>
          <w:iCs/>
          <w:sz w:val="24"/>
          <w:szCs w:val="24"/>
          <w:lang w:val="hy-AM"/>
        </w:rPr>
        <w:t>Սահմանադրությ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ան </w:t>
      </w:r>
      <w:r w:rsidRPr="00FA661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2015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թվականի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դեկտեմբերի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6-</w:t>
      </w:r>
      <w:r w:rsidRPr="00FA6619">
        <w:rPr>
          <w:rFonts w:ascii="GHEA Grapalat" w:hAnsi="GHEA Grapalat"/>
          <w:bCs/>
          <w:iCs/>
          <w:sz w:val="24"/>
          <w:szCs w:val="24"/>
          <w:lang w:val="hy-AM"/>
        </w:rPr>
        <w:t>ի փոփոխությունը,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հստակեցնելով իրավական ակտերի աստիճանակարգումը, սահմանել է ենթաօրենսդրական նորմատիվ իրավական ակտ հասկացությունը: </w:t>
      </w:r>
    </w:p>
    <w:p w:rsidR="002124CF" w:rsidRPr="00FA6619" w:rsidRDefault="002124CF" w:rsidP="00FA66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Վերոհիշյալ դրույթն ամրագրվել է «Խաղաղ նպատակներով ատոմային էներգիայի անվտանգ օգտագործման մասին» Հայաստանի Հանրապետության օրենքում փոփոխություն կատարելու մասին» </w:t>
      </w:r>
      <w:r w:rsidRPr="00F41DD5">
        <w:rPr>
          <w:rFonts w:ascii="GHEA Grapalat" w:hAnsi="GHEA Grapalat" w:cs="Sylfaen"/>
          <w:bCs/>
          <w:iCs/>
          <w:sz w:val="24"/>
          <w:szCs w:val="24"/>
          <w:lang w:val="hy-AM"/>
        </w:rPr>
        <w:t>այլ օրենքով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ի կատարումն ՀՀ վարչապետի 17.05.0217թ. N 02/16.01/11549-17 հանձնարարականի, </w:t>
      </w:r>
      <w:r w:rsidR="00FA6619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FA661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օրենքները մեկ նախագծով ներկայացնելու  նպատակահարմարությունից  ելնելով, դրանք միացվել են:</w:t>
      </w:r>
    </w:p>
    <w:p w:rsidR="002124CF" w:rsidRPr="00065DC2" w:rsidRDefault="002124CF" w:rsidP="00065DC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065DC2">
        <w:rPr>
          <w:rFonts w:ascii="GHEA Grapalat" w:hAnsi="GHEA Grapalat" w:cs="Sylfaen"/>
          <w:bCs/>
          <w:iCs/>
          <w:sz w:val="24"/>
          <w:szCs w:val="24"/>
          <w:lang w:val="hy-AM"/>
        </w:rPr>
        <w:t>Կարգավորող մարմնի՝</w:t>
      </w:r>
      <w:r w:rsidRPr="00065DC2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 ՀՀ ԿԱ միջուկային անվտանգության կարգավորման պետական կոմիտեի</w:t>
      </w:r>
      <w:r w:rsidRPr="00065DC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՝ գերատեսչական նորմատիվ ակտեր ընդունելու իրավասությունը սահմանված է «Իրավական ակտերի մասին» </w:t>
      </w:r>
      <w:r w:rsidR="00065DC2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065DC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«Խաղաղ նպատակներով ատոմային էներգիայի անվտանգ օգտագործման մասին» ՀՀ օրենքներով:</w:t>
      </w:r>
    </w:p>
    <w:p w:rsidR="002124CF" w:rsidRPr="00C15105" w:rsidRDefault="002124CF" w:rsidP="005B5BE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Վերոհիշյալ իրավասությունը բխում է ՀՀ միջազգային պայմանագրերով ստանձնած պարտավորություններից, մասնավորապես՝ «Միջուկային անվտանգության մասին» կոնվենցիայի 7-րդ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8-րդ, «Աշխատած վառելիքի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ռադիոակտիվ թափոնների կառավարման անվտանգության» համատեղ կոնվենցիայի 19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20 հոդվածների 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պահանջներից, համաձայն որոնց կարգավորող մարմնի հիմնական իրավասություններից են ատոմային էներգիայի օգտագործման բնագավառի օրենսդրական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կարգավորող հիմքի ստեղծումը, բնագավառի գործունեության լիցենզավորումը,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առանց լիցենզիայի ցանկացած գործունեության արգելումը, տեսչական ստուգումների </w:t>
      </w:r>
      <w:r w:rsidR="0094696C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անվտանգության գնահատման համակարգի կիրառումը, համոզվելու, որ կարգավորող պահանջներն ու լիցենզիայի պայմանները պատշաճ կատարվում են,  ինչպես նա</w:t>
      </w:r>
      <w:r w:rsidR="0094696C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կարգավորող ակտերի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լիցենզիաների կասեցումը, փոփոխումը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ուժը կորցրած ճանաչելը, </w:t>
      </w:r>
      <w:r w:rsidR="00C15105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1510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միջուկային ու ճառագայթային անվտանգության պետական կարգավորմանն ուղղված այլ իրավասություններ:</w:t>
      </w:r>
    </w:p>
    <w:p w:rsidR="002124CF" w:rsidRPr="005B5BEB" w:rsidRDefault="002124CF" w:rsidP="005B5BE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5B5BE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2. Ընթացիկ իրավիճակը </w:t>
      </w:r>
      <w:r w:rsidR="007E493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և</w:t>
      </w:r>
      <w:r w:rsidRPr="005B5BE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խնդիրները</w:t>
      </w:r>
    </w:p>
    <w:p w:rsidR="002124CF" w:rsidRPr="005B5BEB" w:rsidRDefault="002124CF" w:rsidP="005B5BE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Օրենքի նախագծից հանվել են հատուկ նյութերի, սարքավորումների, տեխ</w:t>
      </w:r>
      <w:r w:rsid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նոլոգիաների ցանկը հաստատելուն և</w:t>
      </w: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կարգավորմանը վերաբերող դրույթները, քանի որ դրանք կարգավորված են «Երկակի նշանակության ապրանքների արտահանման, Հայաստանի Հանրապետության տարածքով դրանց տարանցիկ փոխադրման, ինչպես նա</w:t>
      </w:r>
      <w:r w:rsid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երկակի նշանակության տեղեկատվության</w:t>
      </w:r>
      <w:r w:rsid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</w:t>
      </w: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մտավոր գործունեության արդյունքների փոխանցման նկատմամբ հսկողության մասին» ՀՀ օրենքով </w:t>
      </w:r>
      <w:r w:rsid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դրանից բխող ՀՀ կառավարության 2011թ. դեկտեմբերի 15-ի N 1785-Ն որոշմամբ, որով ՀՀ կառավարությունը հաստատել է վերոհիշյալ հատուկ նյութերի, սարքավորումների, տեխնոլոգիաների ցանկը՝ որպես երկակի նշանակության ապրանքներ:</w:t>
      </w:r>
    </w:p>
    <w:p w:rsidR="002124CF" w:rsidRPr="005B5BEB" w:rsidRDefault="002124CF" w:rsidP="0002064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</w:t>
      </w:r>
      <w:r w:rsid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5B5BE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Օրենքով գերատեսչական նորմատիվ իրավական ակտ հասկացությունը փոխարինվել է ենթաօրենսդրական նորմատիվ իրավական ակտ հասկացությամբ:</w:t>
      </w:r>
    </w:p>
    <w:p w:rsidR="002124CF" w:rsidRPr="005B5BEB" w:rsidRDefault="002124CF" w:rsidP="005B5BE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5B5BE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3. Կարգավորման</w:t>
      </w:r>
      <w:r w:rsidRPr="005B5BE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նպատակը</w:t>
      </w:r>
      <w:r w:rsidRPr="005B5BE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և</w:t>
      </w:r>
      <w:r w:rsidRPr="005B5BE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ակնկալվող</w:t>
      </w:r>
      <w:r w:rsidRPr="005B5BE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արդյունքը</w:t>
      </w:r>
    </w:p>
    <w:p w:rsidR="002124CF" w:rsidRPr="005B5BEB" w:rsidRDefault="002124CF" w:rsidP="005B5BEB">
      <w:pPr>
        <w:spacing w:after="0" w:line="24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hy-AM"/>
        </w:rPr>
        <w:t>Նախագծ</w:t>
      </w:r>
      <w:r w:rsidRPr="005B5BEB">
        <w:rPr>
          <w:rFonts w:ascii="GHEA Grapalat" w:hAnsi="GHEA Grapalat" w:cs="Sylfaen"/>
          <w:bCs/>
          <w:iCs/>
          <w:sz w:val="24"/>
          <w:szCs w:val="24"/>
          <w:lang w:val="hy-AM"/>
        </w:rPr>
        <w:t>ի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 w:cs="Sylfaen"/>
          <w:bCs/>
          <w:iCs/>
          <w:sz w:val="24"/>
          <w:szCs w:val="24"/>
          <w:lang w:val="hy-AM"/>
        </w:rPr>
        <w:t>ընդունման</w:t>
      </w:r>
      <w:r w:rsidRPr="00F268F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268F3">
        <w:rPr>
          <w:rFonts w:ascii="GHEA Grapalat" w:hAnsi="GHEA Grapalat" w:cs="Sylfaen"/>
          <w:bCs/>
          <w:iCs/>
          <w:sz w:val="24"/>
          <w:szCs w:val="24"/>
          <w:lang w:val="hy-AM"/>
        </w:rPr>
        <w:t>նպատակը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Սահմանադրության</w:t>
      </w:r>
      <w:r w:rsidRPr="005B5BEB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փոփոխություններին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F69D7">
        <w:rPr>
          <w:rFonts w:ascii="GHEA Grapalat" w:hAnsi="GHEA Grapalat" w:cs="Sylfaen"/>
          <w:bCs/>
          <w:iCs/>
          <w:sz w:val="24"/>
          <w:szCs w:val="24"/>
          <w:lang w:val="hy-AM"/>
        </w:rPr>
        <w:t>օրենքի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F69D7">
        <w:rPr>
          <w:rFonts w:ascii="GHEA Grapalat" w:hAnsi="GHEA Grapalat" w:cs="Sylfaen"/>
          <w:bCs/>
          <w:iCs/>
          <w:sz w:val="24"/>
          <w:szCs w:val="24"/>
          <w:lang w:val="hy-AM"/>
        </w:rPr>
        <w:t>դրույթների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F69D7">
        <w:rPr>
          <w:rFonts w:ascii="GHEA Grapalat" w:hAnsi="GHEA Grapalat" w:cs="Sylfaen"/>
          <w:bCs/>
          <w:iCs/>
          <w:sz w:val="24"/>
          <w:szCs w:val="24"/>
          <w:lang w:val="hy-AM"/>
        </w:rPr>
        <w:t>համապատասխանությունն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F69D7">
        <w:rPr>
          <w:rFonts w:ascii="GHEA Grapalat" w:hAnsi="GHEA Grapalat" w:cs="Sylfaen"/>
          <w:bCs/>
          <w:iCs/>
          <w:sz w:val="24"/>
          <w:szCs w:val="24"/>
          <w:lang w:val="hy-AM"/>
        </w:rPr>
        <w:t>ապահովելն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F69D7">
        <w:rPr>
          <w:rFonts w:ascii="GHEA Grapalat" w:hAnsi="GHEA Grapalat" w:cs="Sylfaen"/>
          <w:bCs/>
          <w:iCs/>
          <w:sz w:val="24"/>
          <w:szCs w:val="24"/>
          <w:lang w:val="hy-AM"/>
        </w:rPr>
        <w:t>է</w:t>
      </w:r>
      <w:r w:rsidRPr="005B5BEB">
        <w:rPr>
          <w:rFonts w:ascii="GHEA Grapalat" w:hAnsi="GHEA Grapalat" w:cs="Sylfaen"/>
          <w:bCs/>
          <w:iCs/>
          <w:sz w:val="24"/>
          <w:szCs w:val="24"/>
          <w:lang w:val="hy-AM"/>
        </w:rPr>
        <w:t>, միաժամանակ՝ նա</w:t>
      </w:r>
      <w:r w:rsidR="005B5BEB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CF69D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5B5BEB">
        <w:rPr>
          <w:rFonts w:ascii="GHEA Grapalat" w:hAnsi="GHEA Grapalat"/>
          <w:bCs/>
          <w:iCs/>
          <w:sz w:val="24"/>
          <w:szCs w:val="24"/>
          <w:lang w:val="hy-AM"/>
        </w:rPr>
        <w:t>ՀՀ օրենքների համապատասխան դրույթների կրկնությունները վերացնելը:</w:t>
      </w: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124CF" w:rsidRPr="005B5BEB" w:rsidRDefault="002124CF" w:rsidP="002124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103599" w:rsidRPr="005B5BEB" w:rsidRDefault="00103599">
      <w:pPr>
        <w:rPr>
          <w:lang w:val="hy-AM"/>
        </w:rPr>
      </w:pPr>
    </w:p>
    <w:sectPr w:rsidR="00103599" w:rsidRPr="005B5BEB" w:rsidSect="001035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124CF"/>
    <w:rsid w:val="00020649"/>
    <w:rsid w:val="00065DC2"/>
    <w:rsid w:val="00103599"/>
    <w:rsid w:val="002124CF"/>
    <w:rsid w:val="005B5BEB"/>
    <w:rsid w:val="007E4938"/>
    <w:rsid w:val="0094696C"/>
    <w:rsid w:val="00C15105"/>
    <w:rsid w:val="00C9198D"/>
    <w:rsid w:val="00F41DD5"/>
    <w:rsid w:val="00FA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10</cp:revision>
  <dcterms:created xsi:type="dcterms:W3CDTF">2017-11-01T06:58:00Z</dcterms:created>
  <dcterms:modified xsi:type="dcterms:W3CDTF">2017-11-01T07:07:00Z</dcterms:modified>
</cp:coreProperties>
</file>