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562FE" w14:textId="77777777" w:rsidR="0017160E" w:rsidRDefault="0017160E" w:rsidP="0017160E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>
        <w:rPr>
          <w:rFonts w:ascii="GHEA Grapalat" w:hAnsi="GHEA Grapalat"/>
          <w:b/>
          <w:caps/>
          <w:sz w:val="24"/>
          <w:szCs w:val="24"/>
          <w:lang w:val="hy-AM"/>
        </w:rPr>
        <w:t>ՏԵՂԵԿԱՆՔ-հիմնավորոՒՄ</w:t>
      </w:r>
    </w:p>
    <w:p w14:paraId="24B3A861" w14:textId="77777777" w:rsidR="0017160E" w:rsidRDefault="0017160E" w:rsidP="0017160E">
      <w:pPr>
        <w:tabs>
          <w:tab w:val="left" w:pos="567"/>
        </w:tabs>
        <w:spacing w:after="0" w:line="240" w:lineRule="auto"/>
        <w:ind w:left="142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1B4F5FB1" w14:textId="77777777" w:rsidR="0017160E" w:rsidRDefault="0017160E" w:rsidP="0017160E">
      <w:pPr>
        <w:tabs>
          <w:tab w:val="left" w:pos="567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2017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Sylfaen"/>
          <w:b/>
          <w:sz w:val="24"/>
          <w:szCs w:val="24"/>
          <w:lang w:val="hy-AM"/>
        </w:rPr>
        <w:t>ՆՈՅԵՄԲԵՐԻ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9-Ի ԹԻՎ 1412-Ն ՈՐՈՇՄԱՆ ՄԵՋ ՓՈՓՈԽՈՒԹՅՈՒՆՆԵՐ ԵՎ ԼՐԱՑՈՒՄՆԵՐ ԿԱՏԱՐԵԼՈՒ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 ՀՀ ԿԱՌԱՎԱՐՈՒԹՅԱՆ ՈՐՈՇՄԱՆ ՆԱԽԱԳԾԻ ԸՆԴՈՒՆՄԱՆ</w:t>
      </w:r>
    </w:p>
    <w:p w14:paraId="4F16C398" w14:textId="77777777" w:rsidR="0017160E" w:rsidRDefault="0017160E" w:rsidP="0017160E">
      <w:pPr>
        <w:tabs>
          <w:tab w:val="left" w:pos="567"/>
        </w:tabs>
        <w:spacing w:after="0" w:line="240" w:lineRule="auto"/>
        <w:ind w:left="142"/>
        <w:jc w:val="center"/>
        <w:rPr>
          <w:rStyle w:val="Strong"/>
          <w:bCs w:val="0"/>
        </w:rPr>
      </w:pPr>
    </w:p>
    <w:p w14:paraId="375A8432" w14:textId="77777777" w:rsidR="0017160E" w:rsidRDefault="0017160E" w:rsidP="0017160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Style w:val="Strong"/>
          <w:rFonts w:ascii="GHEA Grapalat" w:hAnsi="GHEA Grapalat" w:cs="Sylfaen"/>
          <w:color w:val="000000"/>
          <w:lang w:val="hy-AM"/>
        </w:rPr>
      </w:pPr>
      <w:r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անհրաժեշտություն</w:t>
      </w:r>
    </w:p>
    <w:p w14:paraId="268E542C" w14:textId="77777777" w:rsidR="0017160E" w:rsidRPr="0017160E" w:rsidRDefault="0017160E" w:rsidP="0017160E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hy-AM"/>
        </w:rPr>
      </w:pPr>
      <w:r>
        <w:rPr>
          <w:rStyle w:val="Strong"/>
          <w:rFonts w:ascii="GHEA Grapalat" w:hAnsi="GHEA Grapalat" w:cs="Sylfaen"/>
          <w:b w:val="0"/>
          <w:color w:val="000000"/>
          <w:lang w:val="hy-AM"/>
        </w:rPr>
        <w:tab/>
        <w:t xml:space="preserve">Սույն որոշման ընդունումը պայմանավորված է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Մ-6, Վանաձոր-Ալավերդի-Վրաստանի սահման միջպետական նշանակության ավտոմոբիլային ճանապարհի կմ0+000-կմ38+450 հատվածի օտարման գոտու սահմաններում գտնվող</w:t>
      </w:r>
      <w:r>
        <w:rPr>
          <w:rFonts w:ascii="GHEA Grapalat" w:hAnsi="GHEA Grapalat"/>
          <w:lang w:val="hy-AM"/>
        </w:rPr>
        <w:t xml:space="preserve"> թվով 3 միավոր հողամասերը հանրության գերակա շահ ճանաչելու, ինչպես նաև Հայաստանի Հանրապետության կառավարության 2017 </w:t>
      </w:r>
      <w:r>
        <w:rPr>
          <w:rFonts w:ascii="GHEA Grapalat" w:hAnsi="GHEA Grapalat" w:cs="Arial"/>
          <w:lang w:val="hy-AM"/>
        </w:rPr>
        <w:t xml:space="preserve">թվականի </w:t>
      </w:r>
      <w:r>
        <w:rPr>
          <w:rFonts w:ascii="GHEA Grapalat" w:hAnsi="GHEA Grapalat" w:cs="Sylfaen"/>
          <w:lang w:val="hy-AM"/>
        </w:rPr>
        <w:t>նոյեմբերի</w:t>
      </w:r>
      <w:r>
        <w:rPr>
          <w:rFonts w:ascii="GHEA Grapalat" w:hAnsi="GHEA Grapalat" w:cs="Arial"/>
          <w:lang w:val="hy-AM"/>
        </w:rPr>
        <w:t xml:space="preserve"> 9-ի N 1412-Ն որոշմամբ (այսուհետ՝ </w:t>
      </w:r>
      <w:r>
        <w:rPr>
          <w:rFonts w:ascii="GHEA Grapalat" w:hAnsi="GHEA Grapalat"/>
          <w:lang w:val="hy-AM"/>
        </w:rPr>
        <w:t xml:space="preserve">Որոշում) բացառիկ՝ գերակա հանրային շահ ճանաչված, սակայն հիշյալ ճանապարհահատվածի օտարման գոտու սահմաններից դուրս գտնվող թվով 25 միավոր հողամասերի հետ կապված դրույթներն ուժը կորցրած ճանաչելու  անհրաժեշտությամբ:  </w:t>
      </w:r>
    </w:p>
    <w:p w14:paraId="3D3FE5F0" w14:textId="77777777" w:rsidR="0017160E" w:rsidRDefault="0017160E" w:rsidP="0017160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 w:cs="Sylfaen"/>
          <w:b/>
          <w:i/>
          <w:lang w:val="hy-AM"/>
        </w:rPr>
        <w:tab/>
      </w:r>
      <w:r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14:paraId="57650CBD" w14:textId="77777777" w:rsidR="0017160E" w:rsidRDefault="0017160E" w:rsidP="0017160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Մ-6,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Վանաձոր-Ալավերդի-Վրաստանի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սահման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միջպետական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ճանապարհի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վերականգնման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բարելավման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ծրագ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րի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այսուհետև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՝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Ծրագիր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)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շրջանակներում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 են Մ6,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Վանաձոր-Ալավերդի-Վրաստանի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սահման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ավտոմոբիլային ճանապարհի վերակառուցման աշխատանքները: </w:t>
      </w:r>
    </w:p>
    <w:p w14:paraId="5AA6A5B8" w14:textId="77777777" w:rsidR="0017160E" w:rsidRDefault="0017160E" w:rsidP="0017160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Մ6,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Վանաձոր-Ալավերդի-Վրաստանի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սահման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ավտոմոբիլային ճանապարհի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կմ0+000-կմ38+450 հատվածի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օտարման գոտու սահմաններում գտնվող հողամասերը Որոշմամբ ճանաչվել են բացառիկ` գերակա հանրային շահ, սակայն Որոշման ընդունումից հետո, բացառիկ` գերակա հանրային շահ ճանաչված հողամասի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hy-AM"/>
        </w:rPr>
        <w:t>տեղազննման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hy-AM"/>
        </w:rPr>
        <w:t>, չափագրման, նախագծային լուծումների հետ համադրման արդյունքում պարզվել է, որ թվով 25 միավոր հողամասեր գտնվում են ճանապարհահատվածի օտարման գոտու սահմաններից դուրս, ուստի տվյալ հողամասերի օտարման անհրաժեշտություն չկա: Հիմք ընդունելով նշված հանգամանքը տվյալ հողամասերի նկատմամբ օտարման գործընթաց չի իրականացվել:</w:t>
      </w:r>
    </w:p>
    <w:p w14:paraId="463075BC" w14:textId="77777777" w:rsidR="0017160E" w:rsidRDefault="0017160E" w:rsidP="0017160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Բացի այդ, Ծրագրի ընթացքում իրականացվել են նախագծային փաստաթղթերի փոփոխություններ, որի արդյունքում ճանապարհահատվածի օտարման գոտու սահմաններում են ընդգրկվել թվով 3 միավոր հողամասեր:</w:t>
      </w:r>
    </w:p>
    <w:p w14:paraId="4C218ABB" w14:textId="77777777" w:rsidR="0017160E" w:rsidRDefault="0017160E" w:rsidP="0017160E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Հիմք ընդունելով վերոգրյալ սույն նախագծով առաջարկվում է`</w:t>
      </w:r>
    </w:p>
    <w:p w14:paraId="3DD4152E" w14:textId="77777777" w:rsidR="0017160E" w:rsidRDefault="0017160E" w:rsidP="001716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Որոշմամբ բացառիկ` գերակա հանրային շահ ճանաչված հողամասերի ցանկից հանել ճանապարհահատվածի օտարման գոտու սահմաններից դուրս գտնվող թվով 25 միավոր հողամասերը:</w:t>
      </w:r>
    </w:p>
    <w:p w14:paraId="0C3D591C" w14:textId="77777777" w:rsidR="0017160E" w:rsidRDefault="0017160E" w:rsidP="0017160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Մ6,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Վանաձոր-Ալավերդի-Վրաստանի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սահման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ավտոմոբիլային ճանապարհի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կմ0+000-կմ38+450 հատվածի կառուցման նպատակով հանրության գերակա շահ ճանաչել ճանապարհահատվածի օտարման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գոտու սահմաններում գտնվող թվով 3 միավոր հողամասերը: </w:t>
      </w:r>
    </w:p>
    <w:p w14:paraId="28904105" w14:textId="77777777" w:rsidR="0017160E" w:rsidRDefault="0017160E" w:rsidP="0017160E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 xml:space="preserve">  Ընդ որում, նշված հողամասերի օտարման գործընթացի (փոխհատուցման) համար լրացուցիչ ֆինանսական միջոցներ չեն պահանջվում, քանի որ վերջինս նախատեսվում է իրականացնել Ծրագրի ՀՕՏԾ բյուջեի միջոցների հաշվին:</w:t>
      </w:r>
    </w:p>
    <w:p w14:paraId="411B18FC" w14:textId="77777777" w:rsidR="0017160E" w:rsidRDefault="0017160E" w:rsidP="0017160E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Միաժամանակ, հաշվի առնելով 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Կառավարության կառուցվածքի և գործունեության մասին» օրենքում փոփոխություններ և լրացումներ կատարելու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2019 թվականի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մայիսի 8-ի թիվ ՀՕ-31-Ն ՀՀ օրենքով ՀՀ կառավարության կառուցվածքում կատարված փոփոխությունները, որի շրջանակներում տրանսպորտի, այդ թվում ճանապարհաշինության բնագավառի իրավասությունները վերապահվել են ՀՀ տարածքային կառավարման և ենթակառուցվածքների նախարարությանը, նախագծով առաջարկվում է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սեփականության օտարման գործառույթների իրականացումը համակարգող և պատասխանատու պետական լիազոր մարմնի իրավասությունները վերապահել ՀՀ տարածքային կառավարման և ենթակառուցվածքների նախարարությունը:</w:t>
      </w:r>
    </w:p>
    <w:p w14:paraId="479A4FEA" w14:textId="77777777" w:rsidR="0017160E" w:rsidRDefault="0017160E" w:rsidP="0017160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bCs/>
          <w:color w:val="000000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Իրավական ակտի </w:t>
      </w:r>
      <w:proofErr w:type="spellStart"/>
      <w:r>
        <w:rPr>
          <w:rFonts w:ascii="GHEA Grapalat" w:hAnsi="GHEA Grapalat" w:cs="Sylfaen"/>
          <w:b/>
          <w:lang w:val="hy-AM"/>
        </w:rPr>
        <w:t>կիրարկման</w:t>
      </w:r>
      <w:proofErr w:type="spellEnd"/>
      <w:r>
        <w:rPr>
          <w:rFonts w:ascii="GHEA Grapalat" w:hAnsi="GHEA Grapalat" w:cs="Sylfaen"/>
          <w:b/>
          <w:lang w:val="hy-AM"/>
        </w:rPr>
        <w:t xml:space="preserve"> դեպքում ակնկալվող արդյունքը</w:t>
      </w:r>
      <w:r>
        <w:rPr>
          <w:rStyle w:val="Strong"/>
          <w:rFonts w:ascii="GHEA Grapalat" w:hAnsi="GHEA Grapalat" w:cs="Sylfaen"/>
          <w:b w:val="0"/>
          <w:color w:val="000000"/>
          <w:lang w:val="hy-AM"/>
        </w:rPr>
        <w:t xml:space="preserve"> </w:t>
      </w:r>
    </w:p>
    <w:p w14:paraId="05F8B215" w14:textId="77777777" w:rsidR="0017160E" w:rsidRDefault="0017160E" w:rsidP="0017160E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Սույն որոշման ընդունման արդյունքում</w:t>
      </w:r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Մ-6,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Վանաձոր-Ալավերդի-Վրաստանի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սահման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միջպետական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af-ZA"/>
        </w:rPr>
        <w:t>ճանապարհի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կմ0+000-կմ38+450 հատվածի օտարման գոտու սահմաններում գտնվող թվով 3 միավոր հողամասերը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կճանաչվեն հանրության գերակա շահ, ինչը թույլ կտա օրենքով սահմանված կարգով, նախնական համարժեք փոխհատուցմամբ իրականացնել տվյալ հողամասերի օտարման գործընթացը՝ ապահովելով համապատասխան վարկային համաձայնագրով Հայաստանի Հանրապետության ստանձնած պարտավորությունների պատշաճ կատարումն:  </w:t>
      </w:r>
    </w:p>
    <w:p w14:paraId="30D47C96" w14:textId="77777777" w:rsidR="0017160E" w:rsidRDefault="0017160E" w:rsidP="0017160E">
      <w:pPr>
        <w:spacing w:after="0" w:line="240" w:lineRule="auto"/>
        <w:ind w:firstLine="709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</w:p>
    <w:p w14:paraId="62BC5FBB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6FB16F95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0512A17E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36CA03B7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7EFD4C02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5659E256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514CCF96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0AC49F3D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341D904C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6D3582BB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38E538F2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4CC65CE0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70E5E9B8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3F442AB6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35274D21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3FC6A9A1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14:paraId="436659A2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48897504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5C5AFA23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293AE8D5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5402FE3B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11E008E2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5AC18BB5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4E199524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467B5F9E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06100C90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30BEB3D3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1F057262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2F01CD14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732549EF" w14:textId="77777777" w:rsidR="0017160E" w:rsidRDefault="0017160E" w:rsidP="0017160E">
      <w:pPr>
        <w:spacing w:after="0" w:line="240" w:lineRule="auto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78925593" w14:textId="77777777" w:rsidR="0017160E" w:rsidRDefault="0017160E" w:rsidP="0017160E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0E9DD11" w14:textId="77777777" w:rsidR="0017160E" w:rsidRDefault="0017160E" w:rsidP="0017160E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6D2A7F9" w14:textId="77777777" w:rsidR="0017160E" w:rsidRDefault="0017160E" w:rsidP="0017160E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</w:p>
    <w:p w14:paraId="1A82CA49" w14:textId="77777777" w:rsidR="0017160E" w:rsidRDefault="0017160E" w:rsidP="0017160E">
      <w:pPr>
        <w:tabs>
          <w:tab w:val="left" w:pos="567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ՀՀ ԿԱՌԱՎԱՐՈՒԹՅԱՆ «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2017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Sylfaen"/>
          <w:b/>
          <w:sz w:val="24"/>
          <w:szCs w:val="24"/>
          <w:lang w:val="hy-AM"/>
        </w:rPr>
        <w:t>ՆՈՅԵՄԲԵՐԻ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9-Ի ԹԻՎ 1412-Ն ՈՐՈՇՄԱՆ ՄԵՋ ՓՈՓՈԽՈՒԹՅՈՒՆՆԵՐ ԵՎ ԼՐԱՑՈՒՄՆԵՐ ԿԱՏԱՐԵԼՈՒ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»  ՈՐՈՇՄԱՆ ՆԱԽԱԳԾԻ ԿԱՊԱԿՑՈՒԹՅԱՄԲ ՊԵՏԱԿԱՆ ԲՅՈՒՋԵՈՒՄ ԾԱԽՍԵՐԻ </w:t>
      </w:r>
      <w:r>
        <w:rPr>
          <w:rFonts w:ascii="GHEA Grapalat" w:hAnsi="GHEA Grapalat" w:cs="Arial"/>
          <w:b/>
          <w:sz w:val="24"/>
          <w:szCs w:val="24"/>
          <w:lang w:val="hy-AM"/>
        </w:rPr>
        <w:t>ԵՎ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ԵԿԱՄՈՒՏՆԵՐԻ ԱՎԵԼԱՑՄԱՆ ԿԱՄ ՆՎԱԶԵՑՄԱՆ ՎԵՐԱԲԵՐՅԱԼ</w:t>
      </w:r>
    </w:p>
    <w:p w14:paraId="2697094B" w14:textId="77777777" w:rsidR="0017160E" w:rsidRDefault="0017160E" w:rsidP="0017160E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B4C539F" w14:textId="77777777" w:rsidR="0017160E" w:rsidRDefault="0017160E" w:rsidP="0017160E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Որոշման ընդունումը ՀՀ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2019 թվականի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պետական բյուջեի ծախսերի </w:t>
      </w:r>
      <w:r>
        <w:rPr>
          <w:rFonts w:ascii="GHEA Grapalat" w:hAnsi="GHEA Grapalat"/>
          <w:sz w:val="24"/>
          <w:szCs w:val="24"/>
          <w:lang w:val="hy-AM"/>
        </w:rPr>
        <w:t>ավելացում կամ նվազեցում չի նախատեսում:</w:t>
      </w:r>
    </w:p>
    <w:p w14:paraId="0A30B848" w14:textId="77777777" w:rsidR="0017160E" w:rsidRDefault="0017160E" w:rsidP="0017160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</w:p>
    <w:p w14:paraId="0A1A5A82" w14:textId="77777777" w:rsidR="0017160E" w:rsidRDefault="0017160E" w:rsidP="0017160E">
      <w:pPr>
        <w:tabs>
          <w:tab w:val="left" w:pos="7245"/>
        </w:tabs>
        <w:spacing w:after="0" w:line="240" w:lineRule="auto"/>
        <w:jc w:val="both"/>
        <w:rPr>
          <w:rFonts w:ascii="GHEA Grapalat" w:hAnsi="GHEA Grapalat" w:cs="Sylfaen"/>
          <w:caps/>
          <w:sz w:val="24"/>
          <w:szCs w:val="24"/>
          <w:lang w:val="hy-AM"/>
        </w:rPr>
      </w:pPr>
      <w:r>
        <w:rPr>
          <w:rFonts w:ascii="GHEA Grapalat" w:hAnsi="GHEA Grapalat" w:cs="Sylfaen"/>
          <w:caps/>
          <w:sz w:val="24"/>
          <w:szCs w:val="24"/>
          <w:lang w:val="hy-AM"/>
        </w:rPr>
        <w:tab/>
      </w:r>
    </w:p>
    <w:p w14:paraId="300ED11E" w14:textId="77777777" w:rsidR="0017160E" w:rsidRDefault="0017160E" w:rsidP="0017160E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>
        <w:rPr>
          <w:rFonts w:ascii="GHEA Grapalat" w:hAnsi="GHEA Grapalat" w:cs="Sylfaen"/>
          <w:b/>
          <w:caps/>
          <w:sz w:val="24"/>
          <w:szCs w:val="24"/>
          <w:lang w:val="hy-AM"/>
        </w:rPr>
        <w:t>ՑԱՆԿ</w:t>
      </w:r>
    </w:p>
    <w:p w14:paraId="437945F6" w14:textId="77777777" w:rsidR="0017160E" w:rsidRDefault="0017160E" w:rsidP="0017160E">
      <w:pPr>
        <w:tabs>
          <w:tab w:val="left" w:pos="567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ԻՐԱՎԱԿԱՆ ԱԿՏԵՐԻ, ՈՐՈՆՑ ՀԻՄԱՆ ՎՐԱ ԿԱՄ ՈՐՈՆՑԻՑ ՕԳՏՎԵԼՈՎ ՄՇԱԿՎԵԼ Է «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2017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Sylfaen"/>
          <w:b/>
          <w:sz w:val="24"/>
          <w:szCs w:val="24"/>
          <w:lang w:val="hy-AM"/>
        </w:rPr>
        <w:t>ՆՈՅԵՄԲԵՐԻ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9-Ի ԹԻՎ 1412-Ն ՈՐՈՇՄԱՆ ՄԵՋ ՓՈՓՈԽՈՒԹՅՈՒՆՆԵՐ ԵՎ ԼՐԱՑՈՒՄՆԵՐ ԿԱՏԱՐԵԼՈՒ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 ՀՀ ԿԱՌԱՎԱՐՈՒԹՅԱՆ ՈՐՈՇՄԱՆ ՆԱԽԱԳԻԾԸ</w:t>
      </w:r>
    </w:p>
    <w:p w14:paraId="1E7DD4F2" w14:textId="77777777" w:rsidR="0017160E" w:rsidRDefault="0017160E" w:rsidP="0017160E">
      <w:pPr>
        <w:tabs>
          <w:tab w:val="left" w:pos="0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C5F14F0" w14:textId="77777777" w:rsidR="0017160E" w:rsidRDefault="0017160E" w:rsidP="0017160E">
      <w:pPr>
        <w:tabs>
          <w:tab w:val="left" w:pos="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 xml:space="preserve">Որոշման նախագիծը մշակվել է </w:t>
      </w:r>
      <w:r>
        <w:rPr>
          <w:rFonts w:ascii="GHEA Grapalat" w:hAnsi="GHEA Grapalat"/>
          <w:sz w:val="24"/>
          <w:szCs w:val="24"/>
          <w:lang w:val="hy-AM"/>
        </w:rPr>
        <w:t>«Նորմատիվ ի</w:t>
      </w:r>
      <w:r>
        <w:rPr>
          <w:rFonts w:ascii="GHEA Grapalat" w:hAnsi="GHEA Grapalat" w:cs="Sylfaen"/>
          <w:sz w:val="24"/>
          <w:szCs w:val="24"/>
          <w:lang w:val="hy-AM"/>
        </w:rPr>
        <w:t>րավական ակտերի 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o</w:t>
      </w:r>
      <w:r>
        <w:rPr>
          <w:rFonts w:ascii="GHEA Grapalat" w:hAnsi="GHEA Grapalat" w:cs="Sylfaen"/>
          <w:sz w:val="24"/>
          <w:szCs w:val="24"/>
          <w:lang w:val="hy-AM"/>
        </w:rPr>
        <w:t>րենքի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պահանջներին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46B330E6" w14:textId="77777777" w:rsidR="0017160E" w:rsidRDefault="0017160E" w:rsidP="0017160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367CF1B" w14:textId="77777777" w:rsidR="0017160E" w:rsidRDefault="0017160E" w:rsidP="0017160E">
      <w:pPr>
        <w:spacing w:after="0" w:line="240" w:lineRule="auto"/>
        <w:jc w:val="both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208119B3" w14:textId="77777777" w:rsidR="0017160E" w:rsidRDefault="0017160E" w:rsidP="0017160E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</w:p>
    <w:p w14:paraId="13C3A82B" w14:textId="77777777" w:rsidR="0017160E" w:rsidRDefault="0017160E" w:rsidP="0017160E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2017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Sylfaen"/>
          <w:b/>
          <w:sz w:val="24"/>
          <w:szCs w:val="24"/>
          <w:lang w:val="hy-AM"/>
        </w:rPr>
        <w:t>ՆՈՅԵՄԲԵՐԻ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9-Ի ԹԻՎ 1412-Ն ՈՐՈՇՄԱՆ ՄԵՋ ՓՈՓՈԽՈՒԹՅՈՒՆՆԵՐ ԵՎ ԼՐԱՑՈՒՄՆԵՐ ԿԱՏԱՐԵԼՈՒ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 ՀՀ ԿԱՌԱՎԱՐՈՒԹՅԱՆ ՈՐՈՇՄԱՆ ՆԱԽԱԳԾԻ ԸՆԴՈՒՆՄԱՆ ԿԱՊԱԿՑՈՒԹՅԱՄԲ ԱՅԼ ԻՐԱՎԱԿԱՆ ԱԿՏԵՐՈՒՄ  ՓՈՓՈԽՈՒԹՅՈՒՆՆԵՐ ԿԱՄ ԼՐԱՑՈՒՄՆԵՐ ԿԱՏԱՐԵԼՈՒ ԱՆՀՐԱԺԵՇՏՈՒԹՅԱՆ ՎԵՐԱԲԵՐՅԱԼ</w:t>
      </w:r>
    </w:p>
    <w:p w14:paraId="54173FAE" w14:textId="77777777" w:rsidR="0017160E" w:rsidRDefault="0017160E" w:rsidP="0017160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AF2C9AF" w14:textId="77777777" w:rsidR="0017160E" w:rsidRDefault="0017160E" w:rsidP="0017160E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Որոշման նախագծի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ընդունմամբ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այլ իրավական ակտերում փոփոխություններ կամ լրացումներ կատարելու անհրաժեշտություն չի առաջանում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6F2FFF62" w14:textId="77777777" w:rsidR="0017160E" w:rsidRDefault="0017160E" w:rsidP="0017160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F655760" w14:textId="77777777" w:rsidR="0017160E" w:rsidRDefault="0017160E" w:rsidP="0017160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</w:p>
    <w:p w14:paraId="0DD5D29F" w14:textId="77777777" w:rsidR="0017160E" w:rsidRDefault="0017160E" w:rsidP="0017160E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>
        <w:rPr>
          <w:rFonts w:ascii="GHEA Grapalat" w:hAnsi="GHEA Grapalat" w:cs="Sylfaen"/>
          <w:b/>
          <w:caps/>
          <w:sz w:val="24"/>
          <w:szCs w:val="24"/>
          <w:lang w:val="hy-AM"/>
        </w:rPr>
        <w:t>ՑԱՆԿ</w:t>
      </w:r>
    </w:p>
    <w:p w14:paraId="5EFDE1F2" w14:textId="77777777" w:rsidR="0017160E" w:rsidRDefault="0017160E" w:rsidP="0017160E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2017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ԹՎԱԿԱՆԻ </w:t>
      </w:r>
      <w:r>
        <w:rPr>
          <w:rFonts w:ascii="GHEA Grapalat" w:hAnsi="GHEA Grapalat" w:cs="Sylfaen"/>
          <w:b/>
          <w:sz w:val="24"/>
          <w:szCs w:val="24"/>
          <w:lang w:val="hy-AM"/>
        </w:rPr>
        <w:t>ՆՈՅԵՄԲԵՐԻ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9-Ի ԹԻՎ 1412-Ն ՈՐՈՇՄԱՆ ՄԵՋ ՓՈՓՈԽՈՒԹՅՈՒՆՆԵՐ ԵՎ ԼՐԱՑՈՒՄՆԵՐ ԿԱՏԱՐԵԼՈՒ ՄԱՍԻՆ</w:t>
      </w:r>
      <w:r>
        <w:rPr>
          <w:rFonts w:ascii="GHEA Grapalat" w:hAnsi="GHEA Grapalat" w:cs="Sylfaen"/>
          <w:b/>
          <w:sz w:val="24"/>
          <w:szCs w:val="24"/>
          <w:lang w:val="hy-AM"/>
        </w:rPr>
        <w:t>» ՀՀ ԿԱՌԱՎԱՐՈՒԹՅԱՆ ՈՐՈՇՄԱՆ ՆԱԽԱԳԾԻ ՀԵՂԻՆԱԿՆԵՐԻ (ՄՇԱԿՈՂՆԵՐԻ)</w:t>
      </w:r>
    </w:p>
    <w:p w14:paraId="4CD1E5FE" w14:textId="77777777" w:rsidR="0017160E" w:rsidRDefault="0017160E" w:rsidP="0017160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902DA19" w14:textId="10F747CA" w:rsidR="008607C7" w:rsidRPr="0017160E" w:rsidRDefault="0017160E" w:rsidP="0017160E">
      <w:pPr>
        <w:ind w:firstLine="720"/>
        <w:jc w:val="both"/>
        <w:rPr>
          <w:rFonts w:ascii="Sylfaen" w:hAnsi="Sylfaen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Որոշման նախագիծը մշակվել է ՀՀ տրանսպորտի, կապի և տեղեկատվական տեխնոլոգիաների նախարարության կողմից</w:t>
      </w:r>
      <w:r>
        <w:rPr>
          <w:rFonts w:ascii="GHEA Grapalat" w:hAnsi="GHEA Grapalat"/>
          <w:sz w:val="24"/>
          <w:szCs w:val="24"/>
          <w:lang w:val="hy-AM"/>
        </w:rPr>
        <w:t>:</w:t>
      </w:r>
      <w:bookmarkStart w:id="0" w:name="_GoBack"/>
      <w:bookmarkEnd w:id="0"/>
    </w:p>
    <w:sectPr w:rsidR="008607C7" w:rsidRPr="0017160E" w:rsidSect="00812BE0">
      <w:pgSz w:w="12240" w:h="15840"/>
      <w:pgMar w:top="540" w:right="81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1343F"/>
    <w:multiLevelType w:val="hybridMultilevel"/>
    <w:tmpl w:val="6CDA5AF4"/>
    <w:lvl w:ilvl="0" w:tplc="C658D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8D"/>
    <w:rsid w:val="00011FFE"/>
    <w:rsid w:val="0007082C"/>
    <w:rsid w:val="0009649C"/>
    <w:rsid w:val="000A51D9"/>
    <w:rsid w:val="000B1E12"/>
    <w:rsid w:val="000C6D36"/>
    <w:rsid w:val="000F658F"/>
    <w:rsid w:val="00115B59"/>
    <w:rsid w:val="00152B7B"/>
    <w:rsid w:val="0017160E"/>
    <w:rsid w:val="00176242"/>
    <w:rsid w:val="001A102F"/>
    <w:rsid w:val="001A6EDD"/>
    <w:rsid w:val="001A7F80"/>
    <w:rsid w:val="001D6499"/>
    <w:rsid w:val="001F677A"/>
    <w:rsid w:val="0021292C"/>
    <w:rsid w:val="002301AE"/>
    <w:rsid w:val="00237611"/>
    <w:rsid w:val="002439EB"/>
    <w:rsid w:val="00245DAF"/>
    <w:rsid w:val="0026120C"/>
    <w:rsid w:val="0028019F"/>
    <w:rsid w:val="0028416B"/>
    <w:rsid w:val="002A6BA5"/>
    <w:rsid w:val="002A73AF"/>
    <w:rsid w:val="002B39AB"/>
    <w:rsid w:val="002D3213"/>
    <w:rsid w:val="002E3484"/>
    <w:rsid w:val="0036663A"/>
    <w:rsid w:val="003B53FE"/>
    <w:rsid w:val="00411365"/>
    <w:rsid w:val="004305C7"/>
    <w:rsid w:val="004557AE"/>
    <w:rsid w:val="00467A86"/>
    <w:rsid w:val="00486ECF"/>
    <w:rsid w:val="004D2191"/>
    <w:rsid w:val="004E751A"/>
    <w:rsid w:val="0054226C"/>
    <w:rsid w:val="00571509"/>
    <w:rsid w:val="00582DB8"/>
    <w:rsid w:val="005C3AC0"/>
    <w:rsid w:val="00623049"/>
    <w:rsid w:val="006435AA"/>
    <w:rsid w:val="006472A4"/>
    <w:rsid w:val="0065155F"/>
    <w:rsid w:val="00661EE1"/>
    <w:rsid w:val="006B74DD"/>
    <w:rsid w:val="0074454B"/>
    <w:rsid w:val="007700FC"/>
    <w:rsid w:val="007F1E76"/>
    <w:rsid w:val="00812BE0"/>
    <w:rsid w:val="0085683F"/>
    <w:rsid w:val="008607C7"/>
    <w:rsid w:val="008A7591"/>
    <w:rsid w:val="009246E2"/>
    <w:rsid w:val="00925F0C"/>
    <w:rsid w:val="00933AC2"/>
    <w:rsid w:val="00950B27"/>
    <w:rsid w:val="00973B24"/>
    <w:rsid w:val="00994E3E"/>
    <w:rsid w:val="00996EC5"/>
    <w:rsid w:val="009B6137"/>
    <w:rsid w:val="00A57602"/>
    <w:rsid w:val="00AF3C4D"/>
    <w:rsid w:val="00B142FC"/>
    <w:rsid w:val="00B5478D"/>
    <w:rsid w:val="00B757FF"/>
    <w:rsid w:val="00BA358D"/>
    <w:rsid w:val="00BF24E0"/>
    <w:rsid w:val="00C3042A"/>
    <w:rsid w:val="00C51760"/>
    <w:rsid w:val="00C86A8D"/>
    <w:rsid w:val="00C9021F"/>
    <w:rsid w:val="00CB24F4"/>
    <w:rsid w:val="00CB2CD3"/>
    <w:rsid w:val="00CB5F67"/>
    <w:rsid w:val="00CC1C53"/>
    <w:rsid w:val="00CD39B7"/>
    <w:rsid w:val="00CE35D3"/>
    <w:rsid w:val="00D51310"/>
    <w:rsid w:val="00D5537C"/>
    <w:rsid w:val="00D71022"/>
    <w:rsid w:val="00DF1F1F"/>
    <w:rsid w:val="00E04EED"/>
    <w:rsid w:val="00E15165"/>
    <w:rsid w:val="00E318EC"/>
    <w:rsid w:val="00EC0DA1"/>
    <w:rsid w:val="00EC57F8"/>
    <w:rsid w:val="00ED08BF"/>
    <w:rsid w:val="00ED2C0C"/>
    <w:rsid w:val="00EE5BBA"/>
    <w:rsid w:val="00F205C3"/>
    <w:rsid w:val="00F21294"/>
    <w:rsid w:val="00F2639D"/>
    <w:rsid w:val="00F5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6DC8"/>
  <w15:docId w15:val="{01C32C02-0702-4A6B-A99E-78128D28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4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42FC"/>
    <w:rPr>
      <w:b/>
      <w:bCs/>
    </w:rPr>
  </w:style>
  <w:style w:type="paragraph" w:styleId="ListParagraph">
    <w:name w:val="List Paragraph"/>
    <w:basedOn w:val="Normal"/>
    <w:uiPriority w:val="34"/>
    <w:qFormat/>
    <w:rsid w:val="00366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2946-370D-4562-8E29-3DB4F7C21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565</Words>
  <Characters>4463</Characters>
  <Application>Microsoft Office Word</Application>
  <DocSecurity>0</DocSecurity>
  <Lines>132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https://mul2.gov.am/tasks/85110/oneclick/3Himnavorum.docx?token=4614183f2c41b22cd3d5619aa837ebce</cp:keywords>
  <cp:lastModifiedBy>Astghik Melkonyan</cp:lastModifiedBy>
  <cp:revision>13</cp:revision>
  <dcterms:created xsi:type="dcterms:W3CDTF">2019-06-18T12:09:00Z</dcterms:created>
  <dcterms:modified xsi:type="dcterms:W3CDTF">2019-07-02T14:02:00Z</dcterms:modified>
</cp:coreProperties>
</file>