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F3" w:rsidRPr="00920F38" w:rsidRDefault="005A57F3" w:rsidP="005A57F3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5A57F3" w:rsidRPr="00920F38" w:rsidRDefault="005A57F3" w:rsidP="005A57F3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5A57F3" w:rsidRPr="00920F38" w:rsidRDefault="005A57F3" w:rsidP="005A57F3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5A57F3" w:rsidRPr="00920F38" w:rsidRDefault="005A57F3" w:rsidP="00920F38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20F38">
        <w:rPr>
          <w:rFonts w:ascii="GHEA Grapalat" w:hAnsi="GHEA Grapalat" w:cs="Sylfaen"/>
          <w:b/>
          <w:sz w:val="22"/>
          <w:szCs w:val="22"/>
          <w:lang w:val="en-US"/>
        </w:rPr>
        <w:t>Տ Ե Ղ Ե Կ Ա Ն Ք</w:t>
      </w:r>
    </w:p>
    <w:p w:rsidR="005A57F3" w:rsidRPr="00920F38" w:rsidRDefault="005A57F3" w:rsidP="00920F38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920F38">
        <w:rPr>
          <w:rFonts w:ascii="GHEA Grapalat" w:hAnsi="GHEA Grapalat"/>
          <w:b/>
          <w:sz w:val="22"/>
          <w:szCs w:val="22"/>
          <w:lang w:val="af-ZA"/>
        </w:rPr>
        <w:t>«Էկոլոգիական քաղաքականության</w:t>
      </w:r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» 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օրենքի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հայեցակարգային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մոտեցումներին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հավանություն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տալու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» ՀՀ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արձանագրային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կապակցությամբ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շահագրգիռ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նախարարների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առարկությունների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և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առաջարկությունների</w:t>
      </w:r>
      <w:proofErr w:type="spellEnd"/>
      <w:r w:rsidRPr="00920F38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proofErr w:type="spellStart"/>
      <w:r w:rsidRPr="00920F38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proofErr w:type="spellEnd"/>
    </w:p>
    <w:p w:rsidR="005A57F3" w:rsidRPr="00920F38" w:rsidRDefault="005A57F3" w:rsidP="005A57F3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5130"/>
        <w:gridCol w:w="2700"/>
        <w:gridCol w:w="4320"/>
      </w:tblGrid>
      <w:tr w:rsidR="005A57F3" w:rsidRPr="00920F38" w:rsidTr="005A57F3">
        <w:tc>
          <w:tcPr>
            <w:tcW w:w="2970" w:type="dxa"/>
          </w:tcPr>
          <w:p w:rsidR="005A57F3" w:rsidRPr="00920F38" w:rsidRDefault="005A57F3" w:rsidP="00AC0FA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Առարկության</w:t>
            </w:r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>,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առաջարկության</w:t>
            </w:r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 xml:space="preserve"> 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հեղինակը</w:t>
            </w:r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գրության</w:t>
            </w:r>
            <w:proofErr w:type="spellEnd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ստացման</w:t>
            </w:r>
            <w:proofErr w:type="spellEnd"/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 xml:space="preserve"> 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ամսաթիվը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գրության</w:t>
            </w:r>
            <w:proofErr w:type="spellEnd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համարը</w:t>
            </w:r>
            <w:proofErr w:type="spellEnd"/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>)</w:t>
            </w:r>
          </w:p>
        </w:tc>
        <w:tc>
          <w:tcPr>
            <w:tcW w:w="5130" w:type="dxa"/>
          </w:tcPr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Առարկության</w:t>
            </w:r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 xml:space="preserve">, 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առաջարկության</w:t>
            </w:r>
            <w:r w:rsidRPr="00920F38">
              <w:rPr>
                <w:rFonts w:ascii="GHEA Grapalat" w:hAnsi="GHEA Grapalat" w:cs="Times Armenian"/>
                <w:i/>
                <w:sz w:val="22"/>
                <w:szCs w:val="22"/>
                <w:lang w:val="hy-AM"/>
              </w:rPr>
              <w:t xml:space="preserve"> </w:t>
            </w: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2700" w:type="dxa"/>
          </w:tcPr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</w:p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920F3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320" w:type="dxa"/>
          </w:tcPr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proofErr w:type="spellStart"/>
            <w:r w:rsidRPr="00920F38">
              <w:rPr>
                <w:rFonts w:ascii="GHEA Grapalat" w:hAnsi="GHEA Grapalat"/>
                <w:i/>
                <w:sz w:val="22"/>
                <w:szCs w:val="22"/>
                <w:lang w:val="en-US"/>
              </w:rPr>
              <w:t>Կատարված</w:t>
            </w:r>
            <w:proofErr w:type="spellEnd"/>
            <w:r w:rsidRPr="00920F38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i/>
                <w:sz w:val="22"/>
                <w:szCs w:val="22"/>
                <w:lang w:val="en-US"/>
              </w:rPr>
              <w:t>փոփոխությունները</w:t>
            </w:r>
            <w:proofErr w:type="spellEnd"/>
          </w:p>
        </w:tc>
      </w:tr>
      <w:tr w:rsidR="005A57F3" w:rsidRPr="00920F38" w:rsidTr="005A57F3">
        <w:tc>
          <w:tcPr>
            <w:tcW w:w="2970" w:type="dxa"/>
          </w:tcPr>
          <w:p w:rsidR="005A57F3" w:rsidRPr="00920F38" w:rsidRDefault="005A57F3" w:rsidP="00AC0FA7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Խորհուրդ</w:t>
            </w:r>
            <w:proofErr w:type="spellEnd"/>
          </w:p>
        </w:tc>
        <w:tc>
          <w:tcPr>
            <w:tcW w:w="5130" w:type="dxa"/>
            <w:vAlign w:val="center"/>
          </w:tcPr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1.Պետք է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հաշվի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առնել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արդեն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ձևավորված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բնապահպանական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օրենսդրությունը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ընդունված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են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ոլորտը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կարգավորող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բոլոր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օրենսգրքերը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Հողային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օրենսգիրք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Անտառային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օրենսգիրք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Ջրային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օրենսգիրք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Ընդերքի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օրենսգիրք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/,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օրենքներ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/«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Մթնոլորտային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օդի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պահպանության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» ՀՀ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, «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Կենդանական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աշխարհի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հհ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, «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Բուսական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աշխարհի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» ՀՀ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, «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Բնության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հատուկ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պահպանվող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տարածքների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» ՀՀ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, «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Շրջակա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միջավայրի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վրա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աղդեցության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փորձաքննության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» ՀՀ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և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այլ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/,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հնթաօրենսդրական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ակտեր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իսկ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նոր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օրենսգրքի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ընդունման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արդյունքում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կառաջանա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վտփոխել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ոլորտը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կարգավորող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գոյություն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ունեցող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բոլոր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իրավական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ակտերը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շուրջ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30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օրենսգիրք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քանի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հարյուր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ենթաօրենսդրական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ակտեր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/,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ինչի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համար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անհրաժեշտ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կփնի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հսկայական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միջոցներ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ժամանակ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արդյունքում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կառաջանա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օրենսդրական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վակուում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կկորցնենք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այն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ինչ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մինչ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օրս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ձեռք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ենք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բերել</w:t>
            </w:r>
            <w:proofErr w:type="spellEnd"/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>Ա</w:t>
            </w: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ռաջարկվող օրենսգրքի անվանումը՝ &lt;&lt;Շրջակա միջավայրի պահպանության </w:t>
            </w: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lastRenderedPageBreak/>
              <w:t>մասին&gt;&gt; ՀՀ օրենսգիրք, շատ նեղ է իր իմաստով և սխալ հետևավաբար այն պետք է կոչվեր &lt;&lt;էկոլոգիական օրենսգիրք&gt;&gt;։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2. Ներկայացված փաստաթուղթը չի կարող նոր օրենսգրքի հայեցակարգ հանդիսանալ, քանի որ չի ներկայացված օրենսգրքի կարգավորման առարկան, կառուցվածքը, հիմնական դրույթները, սկզբունքները և այլ։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3. Ներկայացված փաստաթղթում կան անճշտություններ և թերություններ, դրույթները հիմնականում դեկլարատիվ են, չկա վերլուծություն, թե կոնկրետ ինչ բացեր կան գործող օրենսդրությունում և ինչպես առաջարկվող օրենսգիրքը այդ բացերը կլրացնի։ Անհասկանալի է` թե ինչ է նշանակում &lt;&lt;հայեցակարգային մոտեցումներ&gt;&gt;, ինչ իրավական նշանակություն ունի այս փաստաթուղթը և ինչու այն պետք է ընդունվի ՀՀ Կառավարության արձանագրային որոշմամբ։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4. Անհրաժեշտության դեպքում կարող է ընդունվել &lt;&lt;Բնության պահպանության մասին» ՀՀ օրենք, կամ &lt;&lt;էկոլոգիական քաղաքականության մասին&gt;&gt; ՀՀ օրենք, այլ ոչ օրենսգիրք։</w:t>
            </w:r>
          </w:p>
        </w:tc>
        <w:tc>
          <w:tcPr>
            <w:tcW w:w="2700" w:type="dxa"/>
          </w:tcPr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1. Ընդունվել է նախագիծը վերանվանվել է &lt;&lt;Էկոլոգիական քաղաքականության մասին&gt;&gt; ՀՀ օրենք: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2. Նախագիծը հայեցակարգային մոտեցում է: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3. Ընդունվում է, կատարվել են համապատասխան փոփոխություններ: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4. Ընդունվել է:</w:t>
            </w:r>
          </w:p>
        </w:tc>
        <w:tc>
          <w:tcPr>
            <w:tcW w:w="4320" w:type="dxa"/>
          </w:tcPr>
          <w:p w:rsidR="005A57F3" w:rsidRPr="00920F38" w:rsidRDefault="005A57F3" w:rsidP="00AC0FA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</w:p>
        </w:tc>
      </w:tr>
      <w:tr w:rsidR="005A57F3" w:rsidRPr="00920F38" w:rsidTr="005A57F3">
        <w:tc>
          <w:tcPr>
            <w:tcW w:w="297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&lt;&lt;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Հանուն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կայուն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մարդկային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&gt;&gt; 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ասոցիաիցիա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ՀԿ</w:t>
            </w:r>
          </w:p>
        </w:tc>
        <w:tc>
          <w:tcPr>
            <w:tcW w:w="5130" w:type="dxa"/>
          </w:tcPr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1. Հայեցակարգային մոտեցումներում նպատակահարմար է նշել, որ 1991թ. ընդունվել է &lt;&lt;Բնության   պահպանության   մասին  ՀՀ  օրենսդրության   հիմունքները&gt;&gt;  նմանատիպ շրջանակային օրենք, որը, ցավոք, հետագայում չեղյալ է համարվել։</w:t>
            </w:r>
          </w:p>
          <w:p w:rsidR="005A57F3" w:rsidRPr="00920F38" w:rsidRDefault="005A57F3" w:rsidP="00AC0FA7">
            <w:pPr>
              <w:ind w:firstLine="7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2.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Նպատակահարմար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է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վերանվանել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նախագիծը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հետևյալ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 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կերպ՝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ՀՀ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օրենք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էկոլոգիական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քաղաքականության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մասին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af-ZA"/>
              </w:rPr>
              <w:t>&gt;&gt;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ru-RU"/>
              </w:rPr>
              <w:t>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3. V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գլխի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15-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ենթագլխի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>1-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ի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կետում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բնապահպանական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տերմինը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փոխարինել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էկոլոգիական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տերմինով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>, 2-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կետը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վերաշարադրել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հետևյալ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կերպ՝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էկոլոգիական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խնդիրների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ինտեգրումը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սոցիալ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>-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տնտեսական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զարգացումներին՝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կայուն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զարգացման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նպատակով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  <w:t>&gt;&gt;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։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4.</w:t>
            </w:r>
            <w:r w:rsidRPr="00920F38">
              <w:rPr>
                <w:rFonts w:ascii="GHEA Grapalat" w:hAnsi="GHEA Grapalat" w:cs="Arial"/>
                <w:color w:val="000000"/>
                <w:sz w:val="22"/>
                <w:szCs w:val="22"/>
                <w:lang w:val="en-US"/>
              </w:rPr>
              <w:t xml:space="preserve"> V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գլխի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16-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ենթագլխի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6-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կետը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վերաշարադրել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հետևյալ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կերպ՝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բնապահպանական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փորձաքննության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ընթացակարգի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կատարելագործումը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&gt;&gt;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>, 16-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և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17-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րդ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կետերում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բնապահպանական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en-US"/>
              </w:rPr>
              <w:t>&gt;&gt;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տերմինը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փոխարինել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 &lt;&lt;</w:t>
            </w:r>
            <w:r w:rsidRPr="00920F38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ru-RU"/>
              </w:rPr>
              <w:t>էկոլոգիական</w:t>
            </w:r>
            <w:r w:rsidRPr="00920F38">
              <w:rPr>
                <w:rFonts w:ascii="GHEA Grapalat" w:hAnsi="GHEA Grapalat" w:cs="Arial"/>
                <w:noProof/>
                <w:color w:val="000000"/>
                <w:sz w:val="22"/>
                <w:szCs w:val="22"/>
                <w:lang w:val="en-US"/>
              </w:rPr>
              <w:t xml:space="preserve">&gt;&gt; </w:t>
            </w:r>
            <w:r w:rsidRPr="00920F38">
              <w:rPr>
                <w:rFonts w:ascii="GHEA Grapalat" w:hAnsi="GHEA Grapalat" w:cs="Sylfaen"/>
                <w:b/>
                <w:bCs/>
                <w:noProof/>
                <w:color w:val="000000"/>
                <w:sz w:val="22"/>
                <w:szCs w:val="22"/>
                <w:lang w:val="ru-RU"/>
              </w:rPr>
              <w:t>տերմինով</w:t>
            </w:r>
            <w:r w:rsidRPr="00920F38">
              <w:rPr>
                <w:rFonts w:ascii="GHEA Grapalat" w:hAnsi="GHEA Grapalat" w:cs="Arial"/>
                <w:b/>
                <w:bCs/>
                <w:noProof/>
                <w:color w:val="000000"/>
                <w:sz w:val="22"/>
                <w:szCs w:val="22"/>
                <w:lang w:val="ru-RU"/>
              </w:rPr>
              <w:t>։</w:t>
            </w:r>
          </w:p>
        </w:tc>
        <w:tc>
          <w:tcPr>
            <w:tcW w:w="270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1. Ը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նդունվել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է: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2. Ընդունվել է: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3. Ընդունվել է: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4. Ընդունվել է: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32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A57F3" w:rsidRPr="00920F38" w:rsidTr="005A57F3">
        <w:tc>
          <w:tcPr>
            <w:tcW w:w="297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Օրհուսի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</w:p>
        </w:tc>
        <w:tc>
          <w:tcPr>
            <w:tcW w:w="5130" w:type="dxa"/>
          </w:tcPr>
          <w:p w:rsidR="005A57F3" w:rsidRPr="00920F38" w:rsidRDefault="005A57F3" w:rsidP="00AC0FA7">
            <w:pPr>
              <w:ind w:firstLine="72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1.</w:t>
            </w: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ab/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տարբեր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կետերում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տարբեր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հասկացություններ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օգտագործվել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հանրության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հասարակության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բնակչության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բայց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ամենակարևորը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Օրհուսի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կոնվենցիայի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տես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2-րդ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հոդ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4-րդ և 5-րդ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կետեր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պետք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լինի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շահագրգիռ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հասարակայնություն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հասկացությունը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որի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մեջ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մտնում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բնակչությունը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և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հասարակական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կազմակերպությունները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մասավորապես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բնապահպանական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հարցերով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զբաղվող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5A57F3" w:rsidRPr="00920F38" w:rsidRDefault="005A57F3" w:rsidP="00AC0FA7">
            <w:pPr>
              <w:ind w:firstLine="72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5A57F3" w:rsidRPr="00920F38" w:rsidRDefault="005A57F3" w:rsidP="00AC0FA7">
            <w:pPr>
              <w:ind w:firstLine="72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2.</w:t>
            </w: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ab/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9-րդ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ենթակետում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նշված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&lt;&lt;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Որոշումների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ընդունման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գործում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հանրության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մասնակցության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ապահովումը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հանրության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իրազեկումը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տեղեկատվության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մատչելիությունը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&gt;&gt;: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16-րդ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15-րդ և 16-րդ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ենթակետերում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նշված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&lt;&lt;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հասարակության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մասնակցություն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&gt;&gt; և &lt;&lt;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բնակչության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&gt;&gt;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հասկացությունները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5A57F3" w:rsidRPr="00920F38" w:rsidRDefault="005A57F3" w:rsidP="00AC0FA7">
            <w:pPr>
              <w:ind w:firstLine="72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 w:cs="IRTEK Courier"/>
                <w:sz w:val="22"/>
                <w:szCs w:val="22"/>
                <w:lang w:val="en-US"/>
              </w:rPr>
            </w:pP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Բացի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խոսք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չկա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մատչելիության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սկզբունքների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չէ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Օրհուսի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կոնվենցիայով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երեք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կոմպոնենտ</w:t>
            </w:r>
            <w:proofErr w:type="spellEnd"/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920F38">
              <w:rPr>
                <w:rFonts w:ascii="GHEA Grapalat" w:hAnsi="GHEA Grapalat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նախա</w:t>
            </w:r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տեսված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` 1/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շրջակա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միջավայրի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հարցերի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վերաբերյալ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տեղեկատվության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մատչելիություն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, 2/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որոշումների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ընդունման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գործընթացին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հասարակայնության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մասնակցության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ապահովում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, 3/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մատչելիություն</w:t>
            </w:r>
            <w:proofErr w:type="spellEnd"/>
            <w:r w:rsidRPr="00920F38">
              <w:rPr>
                <w:rFonts w:ascii="GHEA Grapalat" w:hAnsi="GHEA Grapalat" w:cs="IRTEK Courier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Ընդունվել է: 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D1E95" w:rsidRDefault="00FD1E95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432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5A57F3" w:rsidRPr="00920F38" w:rsidTr="005A57F3">
        <w:tc>
          <w:tcPr>
            <w:tcW w:w="2970" w:type="dxa"/>
          </w:tcPr>
          <w:p w:rsidR="005A57F3" w:rsidRPr="00920F38" w:rsidRDefault="005A57F3" w:rsidP="00AC0FA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&lt;&lt;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Սպառողների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միություն</w:t>
            </w:r>
            <w:proofErr w:type="spellEnd"/>
            <w:r w:rsidRPr="00920F38">
              <w:rPr>
                <w:rFonts w:ascii="GHEA Grapalat" w:hAnsi="GHEA Grapalat" w:cs="Sylfaen"/>
                <w:sz w:val="22"/>
                <w:szCs w:val="22"/>
                <w:lang w:val="en-US"/>
              </w:rPr>
              <w:t>&gt;&gt; ՀԿ</w:t>
            </w:r>
          </w:p>
        </w:tc>
        <w:tc>
          <w:tcPr>
            <w:tcW w:w="5130" w:type="dxa"/>
          </w:tcPr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20F38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 5-րդ գլխի`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/>
                <w:sz w:val="22"/>
                <w:szCs w:val="22"/>
                <w:lang w:val="af-ZA"/>
              </w:rPr>
              <w:t xml:space="preserve">1. 15-րդ կետի 5-րդ ենթակետում ավելացնել &lt;&lt;Ù³ùñáÕÁ` Ëñ³ËáõëíáõÙ ¿&gt;&gt; </w:t>
            </w:r>
            <w:r w:rsidRPr="00920F38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բառերը;</w:t>
            </w:r>
          </w:p>
          <w:p w:rsidR="005A57F3" w:rsidRPr="00920F38" w:rsidRDefault="005A57F3" w:rsidP="00AC0FA7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15-րդ կետի 10-րդ և 16-րդ ենթակետերում &lt;&lt;կրթության&gt;&gt; բառից հետո ավելացնել &lt;&lt;քարոզչություն&gt;&gt; բառը: </w:t>
            </w: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700" w:type="dxa"/>
          </w:tcPr>
          <w:p w:rsidR="005A57F3" w:rsidRPr="00920F38" w:rsidRDefault="005A57F3" w:rsidP="00AC0FA7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IRTEK Courier"/>
                <w:sz w:val="22"/>
                <w:szCs w:val="22"/>
                <w:lang w:val="af-ZA"/>
              </w:rPr>
              <w:t>Ընդունվել է:</w:t>
            </w:r>
          </w:p>
          <w:p w:rsidR="005A57F3" w:rsidRPr="00920F38" w:rsidRDefault="005A57F3" w:rsidP="00AC0FA7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</w:p>
          <w:p w:rsidR="005A57F3" w:rsidRPr="00920F38" w:rsidRDefault="005A57F3" w:rsidP="00AC0FA7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920F38">
              <w:rPr>
                <w:rFonts w:ascii="GHEA Grapalat" w:hAnsi="GHEA Grapalat" w:cs="IRTEK Courier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4320" w:type="dxa"/>
          </w:tcPr>
          <w:p w:rsidR="005A57F3" w:rsidRPr="00920F38" w:rsidRDefault="005A57F3" w:rsidP="00AC0FA7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5A57F3" w:rsidRPr="00920F38" w:rsidRDefault="005A57F3" w:rsidP="005A57F3">
      <w:pPr>
        <w:rPr>
          <w:rFonts w:ascii="GHEA Grapalat" w:hAnsi="GHEA Grapalat"/>
          <w:sz w:val="22"/>
          <w:szCs w:val="22"/>
          <w:lang w:val="en-US"/>
        </w:rPr>
      </w:pPr>
    </w:p>
    <w:p w:rsidR="00821549" w:rsidRDefault="00821549">
      <w:pPr>
        <w:rPr>
          <w:rFonts w:ascii="GHEA Grapalat" w:hAnsi="GHEA Grapalat"/>
          <w:sz w:val="22"/>
          <w:szCs w:val="22"/>
        </w:rPr>
      </w:pPr>
    </w:p>
    <w:p w:rsidR="00FD1E95" w:rsidRPr="00FD1E95" w:rsidRDefault="00FD1E95" w:rsidP="00FD1E95">
      <w:pPr>
        <w:rPr>
          <w:rFonts w:ascii="GHEA Grapalat" w:hAnsi="GHEA Grapalat"/>
          <w:sz w:val="24"/>
          <w:szCs w:val="24"/>
        </w:rPr>
      </w:pPr>
      <w:r w:rsidRPr="00FD1E95">
        <w:rPr>
          <w:rFonts w:ascii="GHEA Grapalat" w:hAnsi="GHEA Grapalat"/>
          <w:sz w:val="24"/>
          <w:szCs w:val="24"/>
        </w:rPr>
        <w:t xml:space="preserve">               </w:t>
      </w:r>
      <w:r w:rsidRPr="00FD1E95">
        <w:rPr>
          <w:rFonts w:ascii="GHEA Grapalat" w:hAnsi="GHEA Grapalat" w:cs="Sylfaen"/>
          <w:sz w:val="24"/>
          <w:szCs w:val="24"/>
        </w:rPr>
        <w:t>ՀՀ</w:t>
      </w:r>
      <w:r w:rsidRPr="00FD1E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1E95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Pr="00FD1E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1E95">
        <w:rPr>
          <w:rFonts w:ascii="GHEA Grapalat" w:hAnsi="GHEA Grapalat" w:cs="Sylfaen"/>
          <w:sz w:val="24"/>
          <w:szCs w:val="24"/>
        </w:rPr>
        <w:t>նախարար</w:t>
      </w:r>
      <w:proofErr w:type="spellEnd"/>
      <w:r w:rsidRPr="00FD1E95">
        <w:rPr>
          <w:rFonts w:ascii="GHEA Grapalat" w:hAnsi="GHEA Grapalat"/>
          <w:sz w:val="24"/>
          <w:szCs w:val="24"/>
        </w:rPr>
        <w:t xml:space="preserve">                           </w:t>
      </w:r>
      <w:proofErr w:type="spellStart"/>
      <w:r w:rsidRPr="00FD1E95">
        <w:rPr>
          <w:rFonts w:ascii="GHEA Grapalat" w:hAnsi="GHEA Grapalat" w:cs="Sylfaen"/>
          <w:sz w:val="24"/>
          <w:szCs w:val="24"/>
        </w:rPr>
        <w:t>Արամ</w:t>
      </w:r>
      <w:proofErr w:type="spellEnd"/>
      <w:r w:rsidRPr="00FD1E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1E95">
        <w:rPr>
          <w:rFonts w:ascii="GHEA Grapalat" w:hAnsi="GHEA Grapalat" w:cs="Sylfaen"/>
          <w:sz w:val="24"/>
          <w:szCs w:val="24"/>
        </w:rPr>
        <w:t>Հարությունյան</w:t>
      </w:r>
      <w:proofErr w:type="spellEnd"/>
    </w:p>
    <w:sectPr w:rsidR="00FD1E95" w:rsidRPr="00FD1E95" w:rsidSect="00920F38">
      <w:pgSz w:w="15840" w:h="12240" w:orient="landscape"/>
      <w:pgMar w:top="547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7F3"/>
    <w:rsid w:val="001D5C8E"/>
    <w:rsid w:val="005A57F3"/>
    <w:rsid w:val="00821549"/>
    <w:rsid w:val="00920F38"/>
    <w:rsid w:val="00FD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5A57F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FD1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AraqsyaM</dc:creator>
  <cp:lastModifiedBy>AraqsyaM</cp:lastModifiedBy>
  <cp:revision>3</cp:revision>
  <dcterms:created xsi:type="dcterms:W3CDTF">2011-06-15T09:47:00Z</dcterms:created>
  <dcterms:modified xsi:type="dcterms:W3CDTF">2011-06-15T10:10:00Z</dcterms:modified>
</cp:coreProperties>
</file>