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8" w:rsidRPr="004102FA" w:rsidRDefault="00B81A48" w:rsidP="004102FA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B81A48" w:rsidRPr="004102FA" w:rsidRDefault="00B81A48" w:rsidP="004102FA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:rsidR="00B81A48" w:rsidRPr="004102FA" w:rsidRDefault="00B81A48" w:rsidP="004102FA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102F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102F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ԿԱՌԱՎԱՐՈՒԹՅՈՒ</w:t>
      </w: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</w:t>
      </w:r>
    </w:p>
    <w:p w:rsidR="00B81A48" w:rsidRPr="004102FA" w:rsidRDefault="00B81A48" w:rsidP="004102FA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 Ը</w:t>
      </w:r>
    </w:p>
    <w:p w:rsidR="00B81A48" w:rsidRPr="004102FA" w:rsidRDefault="00B81A48" w:rsidP="004102FA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 w:cs="IRTEK Courier"/>
          <w:sz w:val="24"/>
          <w:szCs w:val="24"/>
          <w:lang w:val="hy-AM"/>
        </w:rPr>
        <w:t xml:space="preserve">…. </w:t>
      </w:r>
      <w:r w:rsidRPr="004102FA">
        <w:rPr>
          <w:rFonts w:ascii="GHEA Grapalat" w:hAnsi="GHEA Grapalat"/>
          <w:color w:val="000000"/>
          <w:sz w:val="24"/>
          <w:szCs w:val="24"/>
          <w:lang w:val="hy-AM"/>
        </w:rPr>
        <w:t xml:space="preserve">2015 թվականի </w:t>
      </w:r>
      <w:r w:rsidRPr="004102FA">
        <w:rPr>
          <w:rFonts w:ascii="GHEA Grapalat" w:hAnsi="GHEA Grapalat" w:cs="IRTEK Courier"/>
          <w:sz w:val="24"/>
          <w:szCs w:val="24"/>
          <w:lang w:val="hy-AM"/>
        </w:rPr>
        <w:t>№ …..Ն</w:t>
      </w:r>
    </w:p>
    <w:p w:rsidR="00B81A48" w:rsidRPr="004102FA" w:rsidRDefault="00B81A48" w:rsidP="004102FA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81A48" w:rsidRPr="004102FA" w:rsidRDefault="00B81A48" w:rsidP="004102FA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2015 ԹՎԱԿ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ԱՆԻ ՄԱՐՏԻ 19-Ի N 265-Ն ՈՐՈՇՄԱ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Ն ՄԵՋ ՓՈՓՈԽՈՒԹՅՈՒՆ ԿԱՏԱՐԵԼՈՒ </w:t>
      </w:r>
      <w:r w:rsidRPr="004102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:rsidR="00B81A48" w:rsidRPr="004102FA" w:rsidRDefault="00B81A48" w:rsidP="004102FA">
      <w:pPr>
        <w:shd w:val="clear" w:color="auto" w:fill="FFFFFF"/>
        <w:spacing w:after="0" w:line="360" w:lineRule="auto"/>
        <w:ind w:firstLine="70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81A48" w:rsidRPr="004102FA" w:rsidRDefault="00B81A48" w:rsidP="004102FA">
      <w:pPr>
        <w:shd w:val="clear" w:color="auto" w:fill="FFFFFF"/>
        <w:spacing w:after="0" w:line="360" w:lineRule="auto"/>
        <w:ind w:firstLine="700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4102FA">
        <w:rPr>
          <w:rFonts w:ascii="Times New Roman" w:hAnsi="Times New Roman"/>
          <w:color w:val="000000"/>
          <w:sz w:val="24"/>
          <w:szCs w:val="24"/>
          <w:lang w:val="hy-AM"/>
        </w:rPr>
        <w:t> </w:t>
      </w:r>
      <w:r w:rsidRPr="004102F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որոշում է.</w:t>
      </w:r>
    </w:p>
    <w:p w:rsidR="00B81A48" w:rsidRPr="004102FA" w:rsidRDefault="00B81A48" w:rsidP="004102FA">
      <w:pPr>
        <w:shd w:val="clear" w:color="auto" w:fill="FFFFFF"/>
        <w:spacing w:after="0" w:line="360" w:lineRule="auto"/>
        <w:ind w:firstLine="34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/>
          <w:sz w:val="24"/>
          <w:szCs w:val="24"/>
          <w:lang w:val="hy-AM" w:eastAsia="en-GB"/>
        </w:rPr>
        <w:t xml:space="preserve">1. Ուժը կորցրած ճանաչել Հայաստանի Հանրապետության կառավարության  </w:t>
      </w:r>
      <w:r w:rsidRPr="004102FA">
        <w:rPr>
          <w:rFonts w:ascii="GHEA Grapalat" w:hAnsi="GHEA Grapalat"/>
          <w:bCs/>
          <w:color w:val="000000"/>
          <w:sz w:val="24"/>
          <w:szCs w:val="24"/>
          <w:lang w:val="hy-AM"/>
        </w:rPr>
        <w:t>2015 թվականի մարտի 19-ի «Հ</w:t>
      </w:r>
      <w:r w:rsidRPr="004102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այաստանի գործարար միջավայրի բարելավման 2015 թվականի միջոցառումների ծրագրին հավանություն տալու մասին</w:t>
      </w:r>
      <w:r w:rsidRPr="004102F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» </w:t>
      </w:r>
      <w:r w:rsidRPr="004102FA">
        <w:rPr>
          <w:rFonts w:ascii="GHEA Grapalat" w:hAnsi="GHEA Grapalat"/>
          <w:sz w:val="24"/>
          <w:szCs w:val="24"/>
          <w:lang w:val="hy-AM" w:eastAsia="en-GB"/>
        </w:rPr>
        <w:t xml:space="preserve">N 265-Ն որոշմամբ </w:t>
      </w:r>
      <w:r>
        <w:rPr>
          <w:rFonts w:ascii="GHEA Grapalat" w:hAnsi="GHEA Grapalat"/>
          <w:sz w:val="24"/>
          <w:szCs w:val="24"/>
          <w:lang w:val="en-US" w:eastAsia="en-GB"/>
        </w:rPr>
        <w:t>հավանության արժանացած՝</w:t>
      </w:r>
      <w:r w:rsidRPr="004102FA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4102FA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գործարար միջավայրի բարելավման 2015 թվականի միջոցառումների ծրագրի 3-րդ կետի 4-րդ ենթակետը:</w:t>
      </w:r>
    </w:p>
    <w:p w:rsidR="00B81A48" w:rsidRPr="004102FA" w:rsidRDefault="00B81A48" w:rsidP="004102FA">
      <w:pPr>
        <w:shd w:val="clear" w:color="auto" w:fill="FFFFFF"/>
        <w:spacing w:after="0" w:line="360" w:lineRule="auto"/>
        <w:ind w:firstLine="3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102F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2. </w:t>
      </w:r>
      <w:r w:rsidRPr="004102FA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:rsidR="00B81A48" w:rsidRPr="004102FA" w:rsidRDefault="00B81A48" w:rsidP="004102FA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Default="00B81A48">
      <w:pPr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br w:type="page"/>
      </w:r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bookmarkStart w:id="0" w:name="_GoBack"/>
      <w:bookmarkEnd w:id="0"/>
    </w:p>
    <w:p w:rsidR="00B81A48" w:rsidRPr="005C100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81A48" w:rsidRPr="00C56341" w:rsidRDefault="00B81A48" w:rsidP="00023F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C56341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B81A48" w:rsidRPr="00C56341" w:rsidRDefault="00B81A48" w:rsidP="00023F51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C563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2015 ԹՎԱԿԱՆԻ ՄԱՐՏԻ 19-Ի N 265-Ն ՈՐՈՇՄԱՄԲ ՀԱՍՏԱՏՎԱԾ՝ ՀԱՅԱՍՏԱՆԻ ԳՈՐԾԱՐԱՐ ՄԻՋԱՎԱՅՐԻ ԲԱՐԵԼԱՎՄԱՆ 2015 ԹՎԱԿԱՆԻ ՄԻՋՈՑԱՌՈՒՄՆԵՐԻ ԾՐԱԳՐԻ 3-ՐԴ ԿԵՏԻ 4-ՐԴ ԵՆԹԱԿԵՏԸ ՈՒԺԸ ԿՈՐՑՐԱԾ ՃԱՆԱՉԵԼՈՒ ՄԱՍԻՆ» </w:t>
      </w:r>
      <w:r w:rsidRPr="00C5634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 ՎԵՐԱԲԵՐՅԱԼ</w:t>
      </w:r>
    </w:p>
    <w:p w:rsidR="00B81A48" w:rsidRPr="00C56341" w:rsidRDefault="00B81A48" w:rsidP="00023F51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81A48" w:rsidRPr="00C56341" w:rsidRDefault="00B81A48" w:rsidP="00023F51">
      <w:pPr>
        <w:pStyle w:val="ListParagraph"/>
        <w:ind w:left="0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B81A48" w:rsidRPr="00C56341" w:rsidRDefault="00B81A48" w:rsidP="00023F51">
      <w:pPr>
        <w:pStyle w:val="ListParagraph"/>
        <w:ind w:left="0" w:firstLine="54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56341">
        <w:rPr>
          <w:rFonts w:ascii="GHEA Grapalat" w:hAnsi="GHEA Grapalat"/>
          <w:b/>
          <w:sz w:val="24"/>
          <w:szCs w:val="24"/>
          <w:u w:val="single"/>
          <w:lang w:val="hy-AM"/>
        </w:rPr>
        <w:t>1. Ընթացիկ իրավիճակ և առկա խնդիրներ</w:t>
      </w:r>
    </w:p>
    <w:p w:rsidR="00B81A48" w:rsidRPr="00C56341" w:rsidRDefault="00B81A48" w:rsidP="00023F51">
      <w:pPr>
        <w:spacing w:after="0" w:line="360" w:lineRule="auto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կառավարության 2015  թվականի մարտի 19-ի «Հայաստանի գործարար միջավայրի բարելավման 2015 թվականի միջոցառումների ծրագրին հավանություն տալու մասին» N 265-Ն որոշմամբ հաստատված՝ Հայաստանի գործարար միջավայրի բարելավման 2015 թվականի միջոցառումների ծրագրի 3-րդ կետի </w:t>
      </w:r>
      <w:r>
        <w:rPr>
          <w:rFonts w:ascii="GHEA Grapalat" w:hAnsi="GHEA Grapalat" w:cs="Tahoma"/>
          <w:sz w:val="24"/>
          <w:szCs w:val="24"/>
          <w:lang w:val="hy-AM"/>
        </w:rPr>
        <w:t>4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-րդ ենթակետով նախատեսվում է փոփոխություն կատարել ՀՀ քաղաքացիական օրենսգրքում՝ կարգավորումներ նախատեսելով փոքր և միջին խմբային ընկերությունների հիմնման և գործունեության վերաբերյալ: </w:t>
      </w:r>
    </w:p>
    <w:p w:rsidR="00B81A48" w:rsidRPr="00C56341" w:rsidRDefault="00B81A48" w:rsidP="00023F51">
      <w:pPr>
        <w:spacing w:after="0" w:line="360" w:lineRule="auto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56341">
        <w:rPr>
          <w:rFonts w:ascii="GHEA Grapalat" w:hAnsi="GHEA Grapalat" w:cs="Tahoma"/>
          <w:sz w:val="24"/>
          <w:szCs w:val="24"/>
          <w:lang w:val="hy-AM"/>
        </w:rPr>
        <w:t>Միաժամանակ ՀՀ Նախագահի 30.06.2012 թվականի</w:t>
      </w:r>
      <w:r w:rsidRPr="00C56341">
        <w:rPr>
          <w:rFonts w:ascii="GHEA Grapalat" w:hAnsi="GHEA Grapalat"/>
          <w:color w:val="000000"/>
          <w:sz w:val="24"/>
          <w:szCs w:val="24"/>
          <w:lang w:val="hy-AM"/>
        </w:rPr>
        <w:t xml:space="preserve"> «ՀՀ իրավական և դատական բարեփոխումների 2012-2016 թվականների ռազմավարական ծրագիրը և ծրագրից բխող միջոցառումների ցանկը հաստատելու մասին»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56341">
        <w:rPr>
          <w:rFonts w:ascii="GHEA Grapalat" w:hAnsi="GHEA Grapalat"/>
          <w:color w:val="000000"/>
          <w:sz w:val="24"/>
          <w:szCs w:val="24"/>
          <w:lang w:val="hy-AM"/>
        </w:rPr>
        <w:t xml:space="preserve">ՆԿ-96-Ա կարգադրությամբ 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դատաիրավական բարեփոխումների շրջանակում նախատեսվում է կատարելագործել ՀՀ քաղաքացիական օրենսդրությունը: Այս բարեփոխումների շրջանակում ՀՀ քաղաքացիական օրենսգրքում փոփոխություն կատարելու վերաբերյալ աշխատանքներն արդեն իսկ գտնվում են ընթացքի մեջ: </w:t>
      </w:r>
    </w:p>
    <w:p w:rsidR="00B81A48" w:rsidRPr="00C56341" w:rsidRDefault="00B81A48" w:rsidP="00023F51">
      <w:pPr>
        <w:spacing w:after="0" w:line="360" w:lineRule="auto"/>
        <w:ind w:firstLine="54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B81A48" w:rsidRPr="00C56341" w:rsidRDefault="00B81A48" w:rsidP="00023F5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56341">
        <w:rPr>
          <w:rFonts w:ascii="GHEA Grapalat" w:hAnsi="GHEA Grapalat"/>
          <w:b/>
          <w:sz w:val="24"/>
          <w:szCs w:val="24"/>
          <w:u w:val="single"/>
          <w:lang w:val="hy-AM"/>
        </w:rPr>
        <w:t>2. Առաջարկվող լուծումներ</w:t>
      </w:r>
    </w:p>
    <w:p w:rsidR="00B81A48" w:rsidRPr="00023F51" w:rsidRDefault="00B81A48" w:rsidP="00023F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56341">
        <w:rPr>
          <w:rFonts w:ascii="GHEA Grapalat" w:hAnsi="GHEA Grapalat" w:cs="Tahoma"/>
          <w:sz w:val="24"/>
          <w:szCs w:val="24"/>
          <w:lang w:val="hy-AM"/>
        </w:rPr>
        <w:t>Դատաիրավական բարեփոխումների շրջանակում քաղաքացիական օրենսդրության կարգավորումները համապատասխանեցվելու են մասնավոր իրավահարաբերությունների կարգավորման ժամանակակից մոտեցումներին:</w:t>
      </w:r>
    </w:p>
    <w:p w:rsidR="00B81A48" w:rsidRPr="009645AE" w:rsidRDefault="00B81A48" w:rsidP="005A21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 Նախագծի </w:t>
      </w:r>
      <w:r>
        <w:rPr>
          <w:rFonts w:ascii="GHEA Grapalat" w:hAnsi="GHEA Grapalat" w:cs="Tahoma"/>
          <w:sz w:val="24"/>
          <w:szCs w:val="24"/>
          <w:lang w:val="hy-AM"/>
        </w:rPr>
        <w:t>շրջանակ</w:t>
      </w:r>
      <w:r w:rsidRPr="00C56341">
        <w:rPr>
          <w:rFonts w:ascii="GHEA Grapalat" w:hAnsi="GHEA Grapalat" w:cs="Tahoma"/>
          <w:sz w:val="24"/>
          <w:szCs w:val="24"/>
          <w:lang w:val="hy-AM"/>
        </w:rPr>
        <w:t>ն</w:t>
      </w:r>
      <w:r w:rsidRPr="00023F51">
        <w:rPr>
          <w:rFonts w:ascii="GHEA Grapalat" w:hAnsi="GHEA Grapalat" w:cs="Tahoma"/>
          <w:sz w:val="24"/>
          <w:szCs w:val="24"/>
          <w:lang w:val="hy-AM"/>
        </w:rPr>
        <w:t>ե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րում </w:t>
      </w:r>
      <w:r>
        <w:rPr>
          <w:rFonts w:ascii="GHEA Grapalat" w:hAnsi="GHEA Grapalat" w:cs="Tahoma"/>
          <w:sz w:val="24"/>
          <w:szCs w:val="24"/>
          <w:lang w:val="hy-AM"/>
        </w:rPr>
        <w:t>վերանայվել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C1001">
        <w:rPr>
          <w:rFonts w:ascii="GHEA Grapalat" w:hAnsi="GHEA Grapalat" w:cs="Tahoma"/>
          <w:sz w:val="24"/>
          <w:szCs w:val="24"/>
          <w:lang w:val="hy-AM"/>
        </w:rPr>
        <w:t xml:space="preserve">են </w:t>
      </w:r>
      <w:r w:rsidRPr="00C56341">
        <w:rPr>
          <w:rFonts w:ascii="GHEA Grapalat" w:hAnsi="GHEA Grapalat" w:cs="Tahoma"/>
          <w:sz w:val="24"/>
          <w:szCs w:val="24"/>
          <w:lang w:val="hy-AM"/>
        </w:rPr>
        <w:t xml:space="preserve">իրավաբանական </w:t>
      </w:r>
      <w:r>
        <w:rPr>
          <w:rFonts w:ascii="GHEA Grapalat" w:hAnsi="GHEA Grapalat" w:cs="Tahoma"/>
          <w:sz w:val="24"/>
          <w:szCs w:val="24"/>
          <w:lang w:val="hy-AM"/>
        </w:rPr>
        <w:t>անձանց</w:t>
      </w:r>
      <w:r w:rsidRPr="005C1001">
        <w:rPr>
          <w:rFonts w:ascii="GHEA Grapalat" w:hAnsi="GHEA Grapalat" w:cs="Tahoma"/>
          <w:sz w:val="24"/>
          <w:szCs w:val="24"/>
          <w:lang w:val="hy-AM"/>
        </w:rPr>
        <w:t xml:space="preserve"> առնչվող </w:t>
      </w:r>
      <w:r>
        <w:rPr>
          <w:rFonts w:ascii="GHEA Grapalat" w:hAnsi="GHEA Grapalat" w:cs="Tahoma"/>
          <w:sz w:val="24"/>
          <w:szCs w:val="24"/>
          <w:lang w:val="hy-AM"/>
        </w:rPr>
        <w:t>իրավա</w:t>
      </w:r>
      <w:r w:rsidRPr="005C1001">
        <w:rPr>
          <w:rFonts w:ascii="GHEA Grapalat" w:hAnsi="GHEA Grapalat" w:cs="Tahoma"/>
          <w:sz w:val="24"/>
          <w:szCs w:val="24"/>
          <w:lang w:val="hy-AM"/>
        </w:rPr>
        <w:t>կան կարգավորումները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5C1001">
        <w:rPr>
          <w:rFonts w:ascii="GHEA Grapalat" w:hAnsi="GHEA Grapalat" w:cs="Tahoma"/>
          <w:sz w:val="24"/>
          <w:szCs w:val="24"/>
          <w:lang w:val="hy-AM"/>
        </w:rPr>
        <w:t>փոքր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ու միջին</w:t>
      </w:r>
      <w:r w:rsidRPr="005C1001">
        <w:rPr>
          <w:rFonts w:ascii="GHEA Grapalat" w:hAnsi="GHEA Grapalat" w:cs="Tahoma"/>
          <w:sz w:val="24"/>
          <w:szCs w:val="24"/>
          <w:lang w:val="hy-AM"/>
        </w:rPr>
        <w:t xml:space="preserve"> խմբային ընկերությունների համար առանձին կարգավորման անհրաժեշտությունը </w:t>
      </w:r>
      <w:r>
        <w:rPr>
          <w:rFonts w:ascii="GHEA Grapalat" w:hAnsi="GHEA Grapalat" w:cs="Tahoma"/>
          <w:sz w:val="24"/>
          <w:szCs w:val="24"/>
          <w:lang w:val="hy-AM"/>
        </w:rPr>
        <w:t>բացակայում է</w:t>
      </w:r>
      <w:r w:rsidRPr="005C1001">
        <w:rPr>
          <w:rFonts w:ascii="GHEA Grapalat" w:hAnsi="GHEA Grapalat" w:cs="Tahoma"/>
          <w:sz w:val="24"/>
          <w:szCs w:val="24"/>
          <w:lang w:val="hy-AM"/>
        </w:rPr>
        <w:t>, քանի</w:t>
      </w:r>
      <w:r w:rsidRPr="009645A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5C1001">
        <w:rPr>
          <w:rFonts w:ascii="GHEA Grapalat" w:hAnsi="GHEA Grapalat" w:cs="Tahoma"/>
          <w:sz w:val="24"/>
          <w:szCs w:val="24"/>
          <w:lang w:val="hy-AM"/>
        </w:rPr>
        <w:t xml:space="preserve"> որ </w:t>
      </w:r>
      <w:r w:rsidRPr="009645AE">
        <w:rPr>
          <w:rFonts w:ascii="GHEA Grapalat" w:hAnsi="GHEA Grapalat" w:cs="Tahoma"/>
          <w:sz w:val="24"/>
          <w:szCs w:val="24"/>
          <w:lang w:val="hy-AM"/>
        </w:rPr>
        <w:t xml:space="preserve">այդ հարաբերությունները </w:t>
      </w:r>
      <w:r w:rsidRPr="008B1398">
        <w:rPr>
          <w:rFonts w:ascii="GHEA Grapalat" w:hAnsi="GHEA Grapalat" w:cs="Tahoma"/>
          <w:sz w:val="24"/>
          <w:szCs w:val="24"/>
          <w:lang w:val="hy-AM"/>
        </w:rPr>
        <w:t xml:space="preserve">գործող </w:t>
      </w:r>
      <w:r>
        <w:rPr>
          <w:rFonts w:ascii="GHEA Grapalat" w:hAnsi="GHEA Grapalat" w:cs="Tahoma"/>
          <w:sz w:val="24"/>
          <w:szCs w:val="24"/>
          <w:lang w:val="hy-AM"/>
        </w:rPr>
        <w:t>օրենսդրությ</w:t>
      </w:r>
      <w:r w:rsidRPr="009645AE">
        <w:rPr>
          <w:rFonts w:ascii="GHEA Grapalat" w:hAnsi="GHEA Grapalat" w:cs="Tahoma"/>
          <w:sz w:val="24"/>
          <w:szCs w:val="24"/>
          <w:lang w:val="hy-AM"/>
        </w:rPr>
        <w:t xml:space="preserve">ամբ </w:t>
      </w:r>
      <w:r>
        <w:rPr>
          <w:rFonts w:ascii="GHEA Grapalat" w:hAnsi="GHEA Grapalat" w:cs="Tahoma"/>
          <w:sz w:val="24"/>
          <w:szCs w:val="24"/>
          <w:lang w:val="hy-AM"/>
        </w:rPr>
        <w:t xml:space="preserve">բավարար </w:t>
      </w:r>
      <w:r w:rsidRPr="009645AE">
        <w:rPr>
          <w:rFonts w:ascii="GHEA Grapalat" w:hAnsi="GHEA Grapalat" w:cs="Tahoma"/>
          <w:sz w:val="24"/>
          <w:szCs w:val="24"/>
          <w:lang w:val="hy-AM"/>
        </w:rPr>
        <w:t>կարգավորվում են</w:t>
      </w:r>
      <w:r w:rsidRPr="005A218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645AE">
        <w:rPr>
          <w:rFonts w:ascii="GHEA Grapalat" w:hAnsi="GHEA Grapalat" w:cs="Tahoma"/>
          <w:sz w:val="24"/>
          <w:szCs w:val="24"/>
          <w:lang w:val="hy-AM"/>
        </w:rPr>
        <w:t>(«Սահմանափակ պատասխանատվությամբ</w:t>
      </w:r>
      <w:r w:rsidRPr="005A2189">
        <w:rPr>
          <w:rFonts w:ascii="GHEA Grapalat" w:hAnsi="GHEA Grapalat" w:cs="Tahoma"/>
          <w:sz w:val="24"/>
          <w:szCs w:val="24"/>
          <w:lang w:val="hy-AM"/>
        </w:rPr>
        <w:t xml:space="preserve"> ընկերությունների</w:t>
      </w:r>
      <w:r w:rsidRPr="009645AE">
        <w:rPr>
          <w:rFonts w:ascii="GHEA Grapalat" w:hAnsi="GHEA Grapalat" w:cs="Tahoma"/>
          <w:sz w:val="24"/>
          <w:szCs w:val="24"/>
          <w:lang w:val="hy-AM"/>
        </w:rPr>
        <w:t xml:space="preserve"> մասին» ՀՀ օրենք, </w:t>
      </w:r>
      <w:r w:rsidRPr="005A2189">
        <w:rPr>
          <w:rFonts w:ascii="GHEA Grapalat" w:hAnsi="GHEA Grapalat" w:cs="Tahoma"/>
          <w:sz w:val="24"/>
          <w:szCs w:val="24"/>
          <w:lang w:val="hy-AM"/>
        </w:rPr>
        <w:t>«Անհատ ձեռնարկատիրոջ մասին» ՀՀ օրենք</w:t>
      </w:r>
      <w:r w:rsidRPr="009645AE">
        <w:rPr>
          <w:rFonts w:ascii="GHEA Grapalat" w:hAnsi="GHEA Grapalat" w:cs="Tahoma"/>
          <w:sz w:val="24"/>
          <w:szCs w:val="24"/>
          <w:lang w:val="hy-AM"/>
        </w:rPr>
        <w:t>)</w:t>
      </w:r>
      <w:r w:rsidRPr="00072AE8">
        <w:rPr>
          <w:rFonts w:ascii="GHEA Grapalat" w:hAnsi="GHEA Grapalat" w:cs="Tahoma"/>
          <w:sz w:val="24"/>
          <w:szCs w:val="24"/>
          <w:lang w:val="hy-AM"/>
        </w:rPr>
        <w:t>:</w:t>
      </w:r>
      <w:r w:rsidRPr="009645AE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B81A48" w:rsidRPr="005C1001" w:rsidRDefault="00B81A48" w:rsidP="00023F51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B81A48" w:rsidRPr="00C56341" w:rsidRDefault="00B81A48" w:rsidP="00023F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5634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C56341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</w:t>
      </w:r>
      <w:r w:rsidRPr="00C56341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C56341">
        <w:rPr>
          <w:rFonts w:ascii="GHEA Grapalat" w:hAnsi="GHEA Grapalat" w:cs="Sylfaen"/>
          <w:b/>
          <w:sz w:val="24"/>
          <w:szCs w:val="24"/>
          <w:u w:val="single"/>
          <w:lang w:val="hy-AM"/>
        </w:rPr>
        <w:t>արդյունք</w:t>
      </w:r>
    </w:p>
    <w:p w:rsidR="00B81A48" w:rsidRPr="00023F51" w:rsidRDefault="00B81A48" w:rsidP="00023F5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56341">
        <w:rPr>
          <w:rFonts w:ascii="GHEA Grapalat" w:hAnsi="GHEA Grapalat"/>
          <w:sz w:val="24"/>
          <w:szCs w:val="24"/>
          <w:lang w:val="hy-AM"/>
        </w:rPr>
        <w:t>Նախագծի ընդունման արդյունքում ուժը կորցրած է ճանաչվում փոքր և միջին ձեռնարկատիրական գործունեության զարգացման նպաստման ուղղված ՀՀ քաղաքացիական օրենսգրում փոփոխություններ կատարելու վերաբերյալ միջոցառումը (</w:t>
      </w:r>
      <w:r w:rsidRPr="00C56341">
        <w:rPr>
          <w:rFonts w:ascii="GHEA Grapalat" w:hAnsi="GHEA Grapalat" w:cs="Tahoma"/>
          <w:sz w:val="24"/>
          <w:szCs w:val="24"/>
          <w:lang w:val="hy-AM"/>
        </w:rPr>
        <w:t>Հայաստանի գործարար միջավայրի բարելավման 2015 թվականի միջոցառումների ծրագրի 3-րդ կետի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4</w:t>
      </w:r>
      <w:r w:rsidRPr="00C56341">
        <w:rPr>
          <w:rFonts w:ascii="GHEA Grapalat" w:hAnsi="GHEA Grapalat" w:cs="Tahoma"/>
          <w:sz w:val="24"/>
          <w:szCs w:val="24"/>
          <w:lang w:val="hy-AM"/>
        </w:rPr>
        <w:t>-րդ ենթակետ</w:t>
      </w:r>
      <w:r w:rsidRPr="00C56341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</w:p>
    <w:p w:rsidR="00B81A48" w:rsidRPr="00FD4D22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ՏԵՂԵԿԱՆՔ</w:t>
      </w:r>
    </w:p>
    <w:p w:rsidR="00B81A48" w:rsidRPr="00FD4D22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af-ZA"/>
        </w:rPr>
      </w:pPr>
      <w:r w:rsidRPr="00C563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2015 ԹՎԱԿԱՆԻ ՄԱՐՏԻ 19-Ի N 265-Ն ՈՐՈՇՄԱՄԲ ՀԱՍՏԱՏՎԱԾ՝ ՀԱՅԱՍՏԱՆԻ ԳՈՐԾԱՐԱՐ ՄԻՋԱՎԱՅՐԻ ԲԱՐԵԼԱՎՄԱՆ 2015 ԹՎԱԿԱՆԻ ՄԻՋՈՑԱՌՈՒՄՆԵՐԻ ԾՐԱԳՐԻ 3-ՐԴ ԿԵՏԻ 4-ՐԴ ԵՆԹԱԿԵՏԸ ՈՒԺԸ ԿՈՐՑՐԱԾ ՃԱՆԱՉԵԼՈՒ ՄԱՍԻՆ» </w:t>
      </w:r>
      <w:r w:rsidRPr="00C5634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ՈՐՈՇՄԱՆ ԸՆԴՈՒՆՄԱՆ </w:t>
      </w:r>
      <w:r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r w:rsidRPr="001B2C4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ԱՅԼ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ՆՈՐՄԱՏԻՎ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ԻՐԱՎԱԿԱՆ ԱԿՏԵՐ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>Ի Ը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ՆԴ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ՈՒՆՄԱՆ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ԱՆՀՐԱԺԵՇՏՈՒԹՅԱՆ ՄԱՍԻՆ</w:t>
      </w:r>
    </w:p>
    <w:p w:rsidR="00B81A48" w:rsidRPr="001B2C44" w:rsidRDefault="00B81A48" w:rsidP="00023F51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23F51">
        <w:rPr>
          <w:rFonts w:ascii="GHEA Grapalat" w:hAnsi="GHEA Grapalat"/>
          <w:bCs/>
          <w:color w:val="000000"/>
          <w:lang w:val="af-ZA"/>
        </w:rPr>
        <w:tab/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>Հայաստանի Հանրապետության կառավարության 2015 թվականի մարտի 19-ի N 265-</w:t>
      </w:r>
      <w:r w:rsidRPr="001B2C44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որոշմամբ հաստատված՝ Հայաստանի գործարար միջավայրի բարելավման 2015 թվականի միջոցառումների ծրագրի 3-րդ կետի 4-րդ ենթակետը ուժը կորցրած ճանաչելու մասին</w:t>
      </w:r>
      <w:r w:rsidRPr="001B2C44">
        <w:rPr>
          <w:rFonts w:ascii="GHEA Grapalat" w:hAnsi="GHEA Grapalat"/>
          <w:bCs/>
          <w:color w:val="000000"/>
          <w:sz w:val="24"/>
          <w:szCs w:val="24"/>
          <w:lang w:val="af-ZA"/>
        </w:rPr>
        <w:t>»</w:t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ՀՀ կառավարության որոշման</w:t>
      </w:r>
      <w:r w:rsidRPr="001B2C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2C44">
        <w:rPr>
          <w:rFonts w:ascii="GHEA Grapalat" w:hAnsi="GHEA Grapalat"/>
          <w:bCs/>
          <w:iCs/>
          <w:sz w:val="24"/>
          <w:szCs w:val="24"/>
          <w:lang w:val="af-ZA"/>
        </w:rPr>
        <w:t xml:space="preserve">ընդունման կապակցությամբ </w:t>
      </w:r>
      <w:r w:rsidRPr="001B2C44">
        <w:rPr>
          <w:rFonts w:ascii="GHEA Grapalat" w:hAnsi="GHEA Grapalat"/>
          <w:bCs/>
          <w:iCs/>
          <w:sz w:val="24"/>
          <w:szCs w:val="24"/>
          <w:lang w:val="hy-AM"/>
        </w:rPr>
        <w:t>այլ նորմատիվ իրավական ակտեր ընդունել անհրաժեշտ չէ։</w:t>
      </w:r>
    </w:p>
    <w:p w:rsidR="00B81A48" w:rsidRPr="00FD4D22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af-ZA"/>
        </w:rPr>
      </w:pP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ՏԵՂԵԿԱՆՔ</w:t>
      </w:r>
    </w:p>
    <w:p w:rsidR="00B81A48" w:rsidRPr="00FD4D22" w:rsidRDefault="00B81A48" w:rsidP="00023F51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bCs/>
          <w:iCs/>
          <w:sz w:val="24"/>
          <w:szCs w:val="24"/>
          <w:lang w:val="af-ZA"/>
        </w:rPr>
      </w:pPr>
      <w:r w:rsidRPr="00C5634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2015 ԹՎԱԿԱՆԻ ՄԱՐՏԻ 19-Ի N 265-Ն ՈՐՈՇՄԱՄԲ ՀԱՍՏԱՏՎԱԾ՝ ՀԱՅԱՍՏԱՆԻ ԳՈՐԾԱՐԱՐ ՄԻՋԱՎԱՅՐԻ ԲԱՐԵԼԱՎՄԱՆ 2015 ԹՎԱԿԱՆԻ ՄԻՋՈՑԱՌՈՒՄՆԵՐԻ ԾՐԱԳՐԻ 3-ՐԴ ԿԵՏԻ 4-ՐԴ ԵՆԹԱԿԵՏԸ ՈՒԺԸ ԿՈՐՑՐԱԾ ՃԱՆԱՉԵԼՈՒ ՄԱՍԻՆ» </w:t>
      </w:r>
      <w:r w:rsidRPr="00C5634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ՈՐՈՇՄԱՆ ԸՆԴՈՒՆՄԱՆ </w:t>
      </w:r>
      <w:r>
        <w:rPr>
          <w:rFonts w:ascii="GHEA Grapalat" w:hAnsi="GHEA Grapalat"/>
          <w:b/>
          <w:sz w:val="24"/>
          <w:szCs w:val="24"/>
          <w:lang w:val="en-US"/>
        </w:rPr>
        <w:t>ԿԱՊԱԿՑՈՒԹՅԱՄԲ</w:t>
      </w:r>
      <w:r w:rsidRPr="001B2C4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ԱՅԼ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ՆՈՐՄԱՏԻՎ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>ԻՐԱՎԱԿԱՆ ԱԿՏԵՐ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>Ի Ը</w:t>
      </w:r>
      <w:r>
        <w:rPr>
          <w:rFonts w:ascii="GHEA Grapalat" w:hAnsi="GHEA Grapalat"/>
          <w:b/>
          <w:bCs/>
          <w:iCs/>
          <w:sz w:val="24"/>
          <w:szCs w:val="24"/>
          <w:lang w:val="hy-AM"/>
        </w:rPr>
        <w:t>ՆԴ</w:t>
      </w:r>
      <w:r w:rsidRPr="00FD4D22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ՈՒՆՄԱՆ </w:t>
      </w:r>
      <w:r w:rsidRPr="00FD4D22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ԱՆՀՐԱԺԵՇՏՈՒԹՅԱՆ ՄԱՍԻՆ</w:t>
      </w:r>
    </w:p>
    <w:p w:rsidR="00B81A48" w:rsidRPr="001B2C44" w:rsidRDefault="00B81A48" w:rsidP="00023F51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023F51">
        <w:rPr>
          <w:rFonts w:ascii="GHEA Grapalat" w:hAnsi="GHEA Grapalat"/>
          <w:bCs/>
          <w:color w:val="000000"/>
          <w:sz w:val="24"/>
          <w:szCs w:val="24"/>
          <w:lang w:val="af-ZA"/>
        </w:rPr>
        <w:tab/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>Հայաստանի Հանրապետության կառավարության 2015 թվականի մարտի 19-ի N 265-</w:t>
      </w:r>
      <w:r w:rsidRPr="001B2C44">
        <w:rPr>
          <w:rFonts w:ascii="GHEA Grapalat" w:hAnsi="GHEA Grapalat"/>
          <w:bCs/>
          <w:color w:val="000000"/>
          <w:sz w:val="24"/>
          <w:szCs w:val="24"/>
        </w:rPr>
        <w:t>Ն</w:t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որոշմամբ հաստատված՝ Հայաստանի գործարար միջավայրի բարելավման 2015 թվականի միջոցառումների ծրագրի 3-րդ կետի 4-րդ ենթակետը ուժը կորցրած ճանաչելու մասին</w:t>
      </w:r>
      <w:r w:rsidRPr="001B2C44">
        <w:rPr>
          <w:rFonts w:ascii="GHEA Grapalat" w:hAnsi="GHEA Grapalat"/>
          <w:bCs/>
          <w:color w:val="000000"/>
          <w:sz w:val="24"/>
          <w:szCs w:val="24"/>
          <w:lang w:val="af-ZA"/>
        </w:rPr>
        <w:t>»</w:t>
      </w:r>
      <w:r w:rsidRPr="001B2C44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ՀՀ կառավարության որոշման</w:t>
      </w:r>
      <w:r w:rsidRPr="001B2C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2C44">
        <w:rPr>
          <w:rFonts w:ascii="GHEA Grapalat" w:hAnsi="GHEA Grapalat"/>
          <w:bCs/>
          <w:iCs/>
          <w:sz w:val="24"/>
          <w:szCs w:val="24"/>
          <w:lang w:val="af-ZA"/>
        </w:rPr>
        <w:t xml:space="preserve">ընդունման կապակցությամբ </w:t>
      </w:r>
      <w:r w:rsidRPr="00FD4D22">
        <w:rPr>
          <w:rFonts w:ascii="GHEA Grapalat" w:hAnsi="GHEA Grapalat"/>
          <w:bCs/>
          <w:iCs/>
          <w:sz w:val="24"/>
          <w:szCs w:val="24"/>
          <w:lang w:val="af-ZA"/>
        </w:rPr>
        <w:t xml:space="preserve">պետական կամ տեղական ինքնակառավարման մարմնի բյուջեում եկամուտների և ծախսերի էական ավելացում կամ նվազեցում չի </w:t>
      </w:r>
      <w:r w:rsidRPr="00FD4D22">
        <w:rPr>
          <w:rFonts w:ascii="GHEA Grapalat" w:hAnsi="GHEA Grapalat"/>
          <w:bCs/>
          <w:iCs/>
          <w:sz w:val="24"/>
          <w:szCs w:val="24"/>
          <w:lang w:val="hy-AM"/>
        </w:rPr>
        <w:t>նախատեսվում։</w:t>
      </w:r>
    </w:p>
    <w:p w:rsidR="00B81A48" w:rsidRPr="00FD4D22" w:rsidRDefault="00B81A48" w:rsidP="00023F51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B81A48" w:rsidRPr="00FD4D22" w:rsidSect="005C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DA2"/>
    <w:multiLevelType w:val="hybridMultilevel"/>
    <w:tmpl w:val="63182244"/>
    <w:lvl w:ilvl="0" w:tplc="7166DCCE">
      <w:start w:val="1"/>
      <w:numFmt w:val="decimal"/>
      <w:lvlText w:val="%1."/>
      <w:lvlJc w:val="left"/>
      <w:pPr>
        <w:ind w:left="700" w:hanging="360"/>
      </w:pPr>
      <w:rPr>
        <w:rFonts w:ascii="GHEA Grapalat" w:hAnsi="GHEA Grapalat" w:cs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>
    <w:nsid w:val="6BEA4697"/>
    <w:multiLevelType w:val="hybridMultilevel"/>
    <w:tmpl w:val="F16C7040"/>
    <w:lvl w:ilvl="0" w:tplc="26B2FBD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5907844"/>
    <w:multiLevelType w:val="hybridMultilevel"/>
    <w:tmpl w:val="FFA4C1DA"/>
    <w:lvl w:ilvl="0" w:tplc="5CE43164">
      <w:start w:val="1"/>
      <w:numFmt w:val="decimal"/>
      <w:lvlText w:val="%1."/>
      <w:lvlJc w:val="left"/>
      <w:pPr>
        <w:ind w:left="700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C35"/>
    <w:rsid w:val="00023F51"/>
    <w:rsid w:val="00032380"/>
    <w:rsid w:val="00043F2B"/>
    <w:rsid w:val="00052FC7"/>
    <w:rsid w:val="00065FEF"/>
    <w:rsid w:val="00072AE8"/>
    <w:rsid w:val="001B2C44"/>
    <w:rsid w:val="001D12DC"/>
    <w:rsid w:val="00205629"/>
    <w:rsid w:val="004102FA"/>
    <w:rsid w:val="00460429"/>
    <w:rsid w:val="004942F3"/>
    <w:rsid w:val="005270DF"/>
    <w:rsid w:val="005A2189"/>
    <w:rsid w:val="005C1001"/>
    <w:rsid w:val="005C57FC"/>
    <w:rsid w:val="005F1ECA"/>
    <w:rsid w:val="00603DF8"/>
    <w:rsid w:val="0064453C"/>
    <w:rsid w:val="006958AB"/>
    <w:rsid w:val="00727B77"/>
    <w:rsid w:val="0073542F"/>
    <w:rsid w:val="008B1398"/>
    <w:rsid w:val="008E1E23"/>
    <w:rsid w:val="00902BC5"/>
    <w:rsid w:val="00904C35"/>
    <w:rsid w:val="009645AE"/>
    <w:rsid w:val="00AB2393"/>
    <w:rsid w:val="00B55F6F"/>
    <w:rsid w:val="00B66B3D"/>
    <w:rsid w:val="00B81A48"/>
    <w:rsid w:val="00B861B8"/>
    <w:rsid w:val="00C01028"/>
    <w:rsid w:val="00C56341"/>
    <w:rsid w:val="00C75FC4"/>
    <w:rsid w:val="00CA5A7D"/>
    <w:rsid w:val="00FD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35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4C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04C3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04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636</Words>
  <Characters>3627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AnahitV</cp:lastModifiedBy>
  <cp:revision>3</cp:revision>
  <dcterms:created xsi:type="dcterms:W3CDTF">2015-11-27T12:43:00Z</dcterms:created>
  <dcterms:modified xsi:type="dcterms:W3CDTF">2015-12-15T11:54:00Z</dcterms:modified>
</cp:coreProperties>
</file>