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1E" w:rsidRDefault="00BD321E" w:rsidP="00BD321E">
      <w:pPr>
        <w:spacing w:after="200" w:line="276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Ա Մ Փ Ո Փ Ա Թ Ե Ր Թ</w:t>
      </w:r>
    </w:p>
    <w:p w:rsidR="00BD321E" w:rsidRDefault="00BD321E" w:rsidP="00BD321E">
      <w:pPr>
        <w:spacing w:after="200" w:line="276" w:lineRule="auto"/>
        <w:jc w:val="center"/>
        <w:rPr>
          <w:rFonts w:ascii="GHEA Grapalat" w:hAnsi="GHEA Grapalat" w:cs="Sylfaen"/>
          <w:lang w:val="af-ZA"/>
        </w:rPr>
      </w:pPr>
      <w:r>
        <w:rPr>
          <w:rFonts w:ascii="Times Armenian" w:hAnsi="Times Armenian" w:cs="Sylfaen"/>
          <w:b/>
          <w:lang w:val="fr-FR"/>
        </w:rPr>
        <w:t xml:space="preserve">§ </w:t>
      </w:r>
      <w:r>
        <w:rPr>
          <w:rFonts w:ascii="GHEA Grapalat" w:hAnsi="GHEA Grapalat" w:cs="Sylfaen"/>
          <w:b/>
          <w:lang w:val="fr-FR"/>
        </w:rPr>
        <w:t>Հ</w:t>
      </w:r>
      <w:r>
        <w:rPr>
          <w:rFonts w:ascii="GHEA Grapalat" w:hAnsi="GHEA Grapalat" w:cs="Sylfaen"/>
          <w:b/>
        </w:rPr>
        <w:t>այաստանի</w:t>
      </w:r>
      <w:r>
        <w:rPr>
          <w:rFonts w:ascii="GHEA Grapalat" w:hAnsi="GHEA Grapalat"/>
          <w:b/>
          <w:lang w:val="fr-CA"/>
        </w:rPr>
        <w:t xml:space="preserve"> Հ</w:t>
      </w:r>
      <w:r>
        <w:rPr>
          <w:rFonts w:ascii="GHEA Grapalat" w:hAnsi="GHEA Grapalat" w:cs="Sylfaen"/>
          <w:b/>
        </w:rPr>
        <w:t>անրապետության</w:t>
      </w:r>
      <w:r>
        <w:rPr>
          <w:rFonts w:ascii="GHEA Grapalat" w:hAnsi="GHEA Grapalat"/>
          <w:b/>
          <w:lang w:val="fr-CA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fr-CA"/>
        </w:rPr>
        <w:t xml:space="preserve"> 2013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fr-CA"/>
        </w:rPr>
        <w:t xml:space="preserve"> </w:t>
      </w:r>
      <w:r>
        <w:rPr>
          <w:rFonts w:ascii="GHEA Grapalat" w:hAnsi="GHEA Grapalat"/>
          <w:b/>
        </w:rPr>
        <w:t>մարտի</w:t>
      </w:r>
      <w:r>
        <w:rPr>
          <w:rFonts w:ascii="GHEA Grapalat" w:hAnsi="GHEA Grapalat"/>
          <w:b/>
          <w:lang w:val="fr-CA"/>
        </w:rPr>
        <w:t xml:space="preserve"> 28-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fr-CA"/>
        </w:rPr>
        <w:t xml:space="preserve"> N370-Ն </w:t>
      </w:r>
      <w:r>
        <w:rPr>
          <w:rFonts w:ascii="GHEA Grapalat" w:hAnsi="GHEA Grapalat"/>
          <w:b/>
        </w:rPr>
        <w:t>որոշումը</w:t>
      </w:r>
      <w:r>
        <w:rPr>
          <w:rFonts w:ascii="GHEA Grapalat" w:hAnsi="GHEA Grapalat"/>
          <w:b/>
          <w:lang w:val="fr-CA"/>
        </w:rPr>
        <w:t xml:space="preserve"> </w:t>
      </w:r>
      <w:r>
        <w:rPr>
          <w:rFonts w:ascii="GHEA Grapalat" w:hAnsi="GHEA Grapalat"/>
          <w:b/>
        </w:rPr>
        <w:t>ուժը</w:t>
      </w:r>
      <w:r>
        <w:rPr>
          <w:rFonts w:ascii="GHEA Grapalat" w:hAnsi="GHEA Grapalat"/>
          <w:b/>
          <w:lang w:val="fr-CA"/>
        </w:rPr>
        <w:t xml:space="preserve"> </w:t>
      </w:r>
      <w:r>
        <w:rPr>
          <w:rFonts w:ascii="GHEA Grapalat" w:hAnsi="GHEA Grapalat"/>
          <w:b/>
        </w:rPr>
        <w:t>կորցրած</w:t>
      </w:r>
      <w:r>
        <w:rPr>
          <w:rFonts w:ascii="GHEA Grapalat" w:hAnsi="GHEA Grapalat"/>
          <w:b/>
          <w:lang w:val="fr-CA"/>
        </w:rPr>
        <w:t xml:space="preserve"> </w:t>
      </w:r>
      <w:r>
        <w:rPr>
          <w:rFonts w:ascii="GHEA Grapalat" w:hAnsi="GHEA Grapalat"/>
          <w:b/>
        </w:rPr>
        <w:t>ճանաչելու</w:t>
      </w:r>
      <w:r>
        <w:rPr>
          <w:rFonts w:ascii="GHEA Grapalat" w:hAnsi="GHEA Grapalat" w:cs="Sylfaen"/>
          <w:b/>
          <w:bCs/>
          <w:color w:val="000000"/>
          <w:lang w:val="fr-CA"/>
        </w:rPr>
        <w:t xml:space="preserve"> և Հ</w:t>
      </w:r>
      <w:r>
        <w:rPr>
          <w:rFonts w:ascii="GHEA Grapalat" w:hAnsi="GHEA Grapalat" w:cs="Sylfaen"/>
          <w:b/>
          <w:bCs/>
          <w:color w:val="000000"/>
        </w:rPr>
        <w:t>այաստանի</w:t>
      </w:r>
      <w:r>
        <w:rPr>
          <w:rFonts w:ascii="GHEA Grapalat" w:hAnsi="GHEA Grapalat"/>
          <w:b/>
          <w:bCs/>
          <w:color w:val="000000"/>
          <w:lang w:val="fr-CA"/>
        </w:rPr>
        <w:t xml:space="preserve"> Հ</w:t>
      </w:r>
      <w:r>
        <w:rPr>
          <w:rFonts w:ascii="GHEA Grapalat" w:hAnsi="GHEA Grapalat" w:cs="Sylfaen"/>
          <w:b/>
          <w:bCs/>
          <w:color w:val="000000"/>
        </w:rPr>
        <w:t>անրապետության</w:t>
      </w:r>
      <w:r>
        <w:rPr>
          <w:rFonts w:ascii="GHEA Grapalat" w:hAnsi="GHEA Grapalat"/>
          <w:b/>
          <w:bCs/>
          <w:color w:val="000000"/>
          <w:lang w:val="fr-CA"/>
        </w:rPr>
        <w:t xml:space="preserve"> </w:t>
      </w:r>
      <w:r>
        <w:rPr>
          <w:rFonts w:ascii="GHEA Grapalat" w:hAnsi="GHEA Grapalat"/>
          <w:b/>
          <w:szCs w:val="22"/>
        </w:rPr>
        <w:t>տնտեսական</w:t>
      </w:r>
      <w:r>
        <w:rPr>
          <w:rFonts w:ascii="GHEA Grapalat" w:hAnsi="GHEA Grapalat"/>
          <w:b/>
          <w:szCs w:val="22"/>
          <w:lang w:val="fr-CA"/>
        </w:rPr>
        <w:t xml:space="preserve"> </w:t>
      </w:r>
      <w:r>
        <w:rPr>
          <w:rFonts w:ascii="GHEA Grapalat" w:hAnsi="GHEA Grapalat"/>
          <w:b/>
          <w:szCs w:val="22"/>
        </w:rPr>
        <w:t>զարգացման</w:t>
      </w:r>
      <w:r>
        <w:rPr>
          <w:rFonts w:ascii="GHEA Grapalat" w:hAnsi="GHEA Grapalat"/>
          <w:b/>
          <w:szCs w:val="22"/>
          <w:lang w:val="fr-CA"/>
        </w:rPr>
        <w:t xml:space="preserve"> </w:t>
      </w:r>
      <w:r>
        <w:rPr>
          <w:rFonts w:ascii="GHEA Grapalat" w:hAnsi="GHEA Grapalat"/>
          <w:b/>
          <w:szCs w:val="22"/>
        </w:rPr>
        <w:t>և</w:t>
      </w:r>
      <w:r>
        <w:rPr>
          <w:rFonts w:ascii="GHEA Grapalat" w:hAnsi="GHEA Grapalat"/>
          <w:b/>
          <w:szCs w:val="22"/>
          <w:lang w:val="fr-CA"/>
        </w:rPr>
        <w:t xml:space="preserve"> </w:t>
      </w:r>
      <w:r>
        <w:rPr>
          <w:rFonts w:ascii="GHEA Grapalat" w:hAnsi="GHEA Grapalat"/>
          <w:b/>
          <w:szCs w:val="22"/>
        </w:rPr>
        <w:t>ներդրումների</w:t>
      </w:r>
      <w:r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նախարարության</w:t>
      </w:r>
      <w:r>
        <w:rPr>
          <w:rFonts w:ascii="GHEA Grapalat" w:hAnsi="GHEA Grapalat"/>
          <w:b/>
          <w:bCs/>
          <w:color w:val="000000"/>
          <w:lang w:val="fr-CA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շուկայի</w:t>
      </w:r>
      <w:proofErr w:type="spellEnd"/>
      <w:r>
        <w:rPr>
          <w:rFonts w:ascii="GHEA Grapalat" w:hAnsi="GHEA Grapalat"/>
          <w:b/>
          <w:bCs/>
          <w:color w:val="000000"/>
          <w:lang w:val="fr-CA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վերահսկողության</w:t>
      </w:r>
      <w:proofErr w:type="spellEnd"/>
      <w:r>
        <w:rPr>
          <w:rFonts w:ascii="GHEA Grapalat" w:hAnsi="GHEA Grapalat"/>
          <w:b/>
          <w:bCs/>
          <w:color w:val="000000"/>
          <w:lang w:val="fr-CA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տեսչական</w:t>
      </w:r>
      <w:proofErr w:type="spellEnd"/>
      <w:r>
        <w:rPr>
          <w:rFonts w:ascii="GHEA Grapalat" w:hAnsi="GHEA Grapalat"/>
          <w:b/>
          <w:bCs/>
          <w:color w:val="000000"/>
          <w:lang w:val="fr-CA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մարմնի</w:t>
      </w:r>
      <w:proofErr w:type="spellEnd"/>
      <w:r>
        <w:rPr>
          <w:rFonts w:ascii="GHEA Grapalat" w:hAnsi="GHEA Grapalat"/>
          <w:b/>
          <w:bCs/>
          <w:color w:val="000000"/>
          <w:lang w:val="fr-CA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կողմից</w:t>
      </w:r>
      <w:r>
        <w:rPr>
          <w:rFonts w:ascii="GHEA Grapalat" w:hAnsi="GHEA Grapalat"/>
          <w:b/>
          <w:bCs/>
          <w:color w:val="000000"/>
          <w:lang w:val="fr-CA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իրականացվող</w:t>
      </w:r>
      <w:r>
        <w:rPr>
          <w:rFonts w:ascii="GHEA Grapalat" w:hAnsi="GHEA Grapalat"/>
          <w:b/>
          <w:bCs/>
          <w:color w:val="000000"/>
          <w:lang w:val="fr-CA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ոչ</w:t>
      </w:r>
      <w:proofErr w:type="spellEnd"/>
      <w:r>
        <w:rPr>
          <w:rFonts w:ascii="GHEA Grapalat" w:hAnsi="GHEA Grapalat"/>
          <w:b/>
          <w:bCs/>
          <w:color w:val="000000"/>
          <w:lang w:val="fr-CA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պարենային</w:t>
      </w:r>
      <w:proofErr w:type="spellEnd"/>
      <w:r>
        <w:rPr>
          <w:rFonts w:ascii="GHEA Grapalat" w:hAnsi="GHEA Grapalat"/>
          <w:b/>
          <w:bCs/>
          <w:color w:val="000000"/>
          <w:lang w:val="fr-CA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ապրանքների</w:t>
      </w:r>
      <w:proofErr w:type="spellEnd"/>
      <w:r>
        <w:rPr>
          <w:rFonts w:ascii="GHEA Grapalat" w:hAnsi="GHEA Grapalat"/>
          <w:b/>
          <w:bCs/>
          <w:color w:val="000000"/>
          <w:lang w:val="fr-CA"/>
        </w:rPr>
        <w:t xml:space="preserve"> և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ծառայությունների</w:t>
      </w:r>
      <w:proofErr w:type="spellEnd"/>
      <w:r>
        <w:rPr>
          <w:rFonts w:ascii="GHEA Grapalat" w:hAnsi="GHEA Grapalat"/>
          <w:b/>
          <w:bCs/>
          <w:color w:val="000000"/>
          <w:lang w:val="fr-CA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նկատմամբ</w:t>
      </w:r>
      <w:proofErr w:type="spellEnd"/>
      <w:r>
        <w:rPr>
          <w:rFonts w:ascii="GHEA Grapalat" w:hAnsi="GHEA Grapalat"/>
          <w:b/>
          <w:bCs/>
          <w:color w:val="000000"/>
          <w:lang w:val="fr-CA"/>
        </w:rPr>
        <w:t xml:space="preserve"> 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պետական</w:t>
      </w:r>
      <w:proofErr w:type="spellEnd"/>
      <w:r>
        <w:rPr>
          <w:rFonts w:ascii="GHEA Grapalat" w:hAnsi="GHEA Grapalat"/>
          <w:b/>
          <w:bCs/>
          <w:color w:val="000000"/>
          <w:lang w:val="fr-CA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վերահսկողության</w:t>
      </w:r>
      <w:proofErr w:type="spellEnd"/>
      <w:r>
        <w:rPr>
          <w:rFonts w:ascii="GHEA Grapalat" w:hAnsi="GHEA Grapalat"/>
          <w:b/>
          <w:bCs/>
          <w:color w:val="000000"/>
          <w:lang w:val="fr-CA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US"/>
        </w:rPr>
        <w:t>իրականացման</w:t>
      </w:r>
      <w:proofErr w:type="spellEnd"/>
      <w:r>
        <w:rPr>
          <w:b/>
          <w:bCs/>
          <w:color w:val="000000"/>
          <w:lang w:val="fr-CA"/>
        </w:rPr>
        <w:t> </w:t>
      </w:r>
      <w:r>
        <w:rPr>
          <w:rFonts w:ascii="GHEA Grapalat" w:hAnsi="GHEA Grapalat" w:cs="Sylfaen"/>
          <w:b/>
          <w:bCs/>
          <w:color w:val="000000"/>
        </w:rPr>
        <w:t>ստուգաթերթերը</w:t>
      </w:r>
      <w:r>
        <w:rPr>
          <w:rFonts w:ascii="GHEA Grapalat" w:hAnsi="GHEA Grapalat"/>
          <w:b/>
          <w:bCs/>
          <w:color w:val="000000"/>
          <w:lang w:val="fr-CA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հաստատելու</w:t>
      </w:r>
      <w:r>
        <w:rPr>
          <w:rFonts w:ascii="GHEA Grapalat" w:hAnsi="GHEA Grapalat"/>
          <w:b/>
          <w:bCs/>
          <w:color w:val="000000"/>
          <w:lang w:val="fr-CA"/>
        </w:rPr>
        <w:t xml:space="preserve"> </w:t>
      </w:r>
      <w:r>
        <w:rPr>
          <w:rFonts w:ascii="GHEA Grapalat" w:hAnsi="GHEA Grapalat" w:cs="Sylfaen"/>
          <w:b/>
          <w:bCs/>
          <w:color w:val="000000"/>
        </w:rPr>
        <w:t>մասին</w:t>
      </w:r>
      <w:r>
        <w:rPr>
          <w:rFonts w:ascii="GHEA Grapalat" w:hAnsi="GHEA Grapalat" w:cs="Sylfaen"/>
          <w:b/>
          <w:bCs/>
          <w:color w:val="000000"/>
          <w:lang w:val="fr-FR"/>
        </w:rPr>
        <w:t xml:space="preserve"> </w:t>
      </w:r>
      <w:r>
        <w:rPr>
          <w:rFonts w:ascii="Times Armenian" w:hAnsi="Times Armenian" w:cs="Sylfaen"/>
          <w:b/>
          <w:bCs/>
          <w:color w:val="000000"/>
          <w:lang w:val="fr-FR"/>
        </w:rPr>
        <w:t>¦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b/>
          <w:bCs/>
          <w:color w:val="000000"/>
          <w:lang w:val="en-GB"/>
        </w:rPr>
        <w:t>ՀՀ</w:t>
      </w:r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GB"/>
        </w:rPr>
        <w:t>կառավարության</w:t>
      </w:r>
      <w:proofErr w:type="spellEnd"/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GB"/>
        </w:rPr>
        <w:t>որոշման</w:t>
      </w:r>
      <w:proofErr w:type="spellEnd"/>
      <w:r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GB"/>
        </w:rPr>
        <w:t>նախագծի</w:t>
      </w:r>
      <w:proofErr w:type="spellEnd"/>
      <w:r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GB"/>
        </w:rPr>
        <w:t>դիտողությունների</w:t>
      </w:r>
      <w:proofErr w:type="spellEnd"/>
      <w:r>
        <w:rPr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lang w:val="en-GB"/>
        </w:rPr>
        <w:t>և</w:t>
      </w:r>
      <w:r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GB"/>
        </w:rPr>
        <w:t>առաջարկությունների</w:t>
      </w:r>
      <w:proofErr w:type="spellEnd"/>
      <w:r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lang w:val="en-GB"/>
        </w:rPr>
        <w:t>վերաբերյալ</w:t>
      </w:r>
      <w:proofErr w:type="spellEnd"/>
    </w:p>
    <w:tbl>
      <w:tblPr>
        <w:tblW w:w="9945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2300"/>
        <w:gridCol w:w="3401"/>
        <w:gridCol w:w="1492"/>
        <w:gridCol w:w="2334"/>
      </w:tblGrid>
      <w:tr w:rsidR="00BD321E" w:rsidTr="00BD321E">
        <w:trPr>
          <w:trHeight w:val="50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ind w:right="-110" w:hanging="90"/>
              <w:jc w:val="both"/>
              <w:rPr>
                <w:rFonts w:ascii="GHEA Grapalat" w:hAnsi="GHEA Grapalat"/>
                <w:b/>
                <w:lang w:val="fr-FR"/>
              </w:rPr>
            </w:pPr>
            <w:bookmarkStart w:id="0" w:name="_GoBack" w:colFirst="4" w:colLast="4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հ/հ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Եզրակացու-թյուն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փոփոխությունը</w:t>
            </w:r>
            <w:proofErr w:type="spellEnd"/>
          </w:p>
        </w:tc>
      </w:tr>
      <w:bookmarkEnd w:id="0"/>
      <w:tr w:rsidR="00BD321E" w:rsidTr="00BD321E">
        <w:trPr>
          <w:trHeight w:val="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ind w:right="-110"/>
              <w:jc w:val="center"/>
              <w:rPr>
                <w:rFonts w:ascii="GHEA Grapalat" w:hAnsi="GHEA Grapalat"/>
                <w:b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3.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4.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fr-FR"/>
              </w:rPr>
              <w:t>5.</w:t>
            </w:r>
          </w:p>
        </w:tc>
      </w:tr>
      <w:tr w:rsidR="00BD321E" w:rsidTr="00BD321E">
        <w:trPr>
          <w:trHeight w:val="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 w:rsidP="008B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Հայաստանի Հանրապետության տրանսպորտի և կապի նախարարություն 29.06.2016թ., №  0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1/24.3/8290-16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գրություն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>Առաջարկություններ չկան: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BD321E" w:rsidTr="00BD321E">
        <w:trPr>
          <w:trHeight w:val="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 w:rsidP="008B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Հայաստանի Հանրապետության առողջապահության նախարարություն 29.06.2016թ., №  ԱՄ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/04/7146-16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գրություն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>Առաջարկություններ չկան: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BD321E" w:rsidTr="00BD321E">
        <w:trPr>
          <w:trHeight w:val="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 w:rsidP="008B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Հայաստանի Հանրապետության արդարադատության նախարարություն 21.07.2016թ., №  01/9190-16 գրություն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Որոշման նախագիծը համապատասխանում է Հայաստանի Հանրապետության օրենսդրությանը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</w:tc>
      </w:tr>
      <w:tr w:rsidR="00BD321E" w:rsidTr="00BD321E">
        <w:trPr>
          <w:trHeight w:val="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 w:rsidP="008B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Հայաստանի Հանրապետության գյուղատնտեսության նախարարություն 30.06.2016թ., № 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ՄԿ/ԿՓ_1/53780-16 գրություն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tabs>
                <w:tab w:val="left" w:pos="990"/>
              </w:tabs>
              <w:ind w:right="273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1.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Նախագծի հավելվածը համապատասխանեցնել «Իրավական ակտերի մասին» ՀՀ օրենքի 45-րդ հոդվածի 2-րդ մասի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պահանջներին, մասնավորապես՝ «Խաղալիքների անվտանգության </w:t>
            </w:r>
          </w:p>
          <w:p w:rsidR="00BD321E" w:rsidRDefault="00BD321E">
            <w:pPr>
              <w:tabs>
                <w:tab w:val="left" w:pos="990"/>
              </w:tabs>
              <w:ind w:right="273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ստուգման վերաբերյալ» ստուգաթերթի 3-րդ և 4-րդ կետերը, 8-րդ, 10-րդ և 11-րդ կետերը միավորել մեկական կետերում</w:t>
            </w:r>
          </w:p>
          <w:p w:rsidR="00BD321E" w:rsidRDefault="00BD321E">
            <w:pPr>
              <w:tabs>
                <w:tab w:val="left" w:pos="990"/>
              </w:tabs>
              <w:ind w:right="273"/>
              <w:rPr>
                <w:rFonts w:ascii="GHEA Grapalat" w:hAnsi="GHEA Grapalat" w:cs="Sylfaen"/>
                <w:lang w:val="af-ZA"/>
              </w:rPr>
            </w:pPr>
          </w:p>
          <w:p w:rsidR="00BD321E" w:rsidRDefault="00BD321E">
            <w:pPr>
              <w:tabs>
                <w:tab w:val="left" w:pos="990"/>
              </w:tabs>
              <w:ind w:right="273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2.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 հավելվածի «Չափումների միասնականության ապահովման ստուգման վերաբերյալ» ստուգաթերթի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4-րդ կետը հանել կամ խմբագրել, քանի որ հարցի բացասական պատասխանի դեպքում պատասխանատու է հանդիսանում լիազոր մարմինը: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Չի ընդունվել</w:t>
            </w:r>
          </w:p>
          <w:p w:rsidR="00BD321E" w:rsidRDefault="00BD321E">
            <w:pPr>
              <w:rPr>
                <w:rFonts w:ascii="GHEA Grapalat" w:hAnsi="GHEA Grapalat"/>
                <w:lang w:val="en-US"/>
              </w:rPr>
            </w:pPr>
          </w:p>
          <w:p w:rsidR="00BD321E" w:rsidRDefault="00BD321E">
            <w:pPr>
              <w:rPr>
                <w:rFonts w:ascii="GHEA Grapalat" w:hAnsi="GHEA Grapalat"/>
                <w:lang w:val="en-US"/>
              </w:rPr>
            </w:pPr>
          </w:p>
          <w:p w:rsidR="00BD321E" w:rsidRDefault="00BD321E">
            <w:pPr>
              <w:rPr>
                <w:rFonts w:ascii="GHEA Grapalat" w:hAnsi="GHEA Grapalat"/>
                <w:lang w:val="en-US"/>
              </w:rPr>
            </w:pPr>
          </w:p>
          <w:p w:rsidR="00BD321E" w:rsidRDefault="00BD321E">
            <w:pPr>
              <w:rPr>
                <w:rFonts w:ascii="GHEA Grapalat" w:hAnsi="GHEA Grapalat"/>
                <w:lang w:val="en-US"/>
              </w:rPr>
            </w:pPr>
          </w:p>
          <w:p w:rsidR="00BD321E" w:rsidRDefault="00BD321E">
            <w:pPr>
              <w:rPr>
                <w:rFonts w:ascii="GHEA Grapalat" w:hAnsi="GHEA Grapalat"/>
                <w:lang w:val="en-US"/>
              </w:rPr>
            </w:pPr>
          </w:p>
          <w:p w:rsidR="00BD321E" w:rsidRDefault="00BD321E">
            <w:pPr>
              <w:rPr>
                <w:rFonts w:ascii="GHEA Grapalat" w:hAnsi="GHEA Grapalat"/>
                <w:lang w:val="en-US"/>
              </w:rPr>
            </w:pPr>
          </w:p>
          <w:p w:rsidR="00BD321E" w:rsidRDefault="00BD321E">
            <w:pPr>
              <w:rPr>
                <w:rFonts w:ascii="GHEA Grapalat" w:hAnsi="GHEA Grapalat"/>
                <w:lang w:val="en-US"/>
              </w:rPr>
            </w:pPr>
          </w:p>
          <w:p w:rsidR="00BD321E" w:rsidRDefault="00BD321E">
            <w:pPr>
              <w:rPr>
                <w:rFonts w:ascii="GHEA Grapalat" w:hAnsi="GHEA Grapalat"/>
                <w:lang w:val="en-US"/>
              </w:rPr>
            </w:pPr>
          </w:p>
          <w:p w:rsidR="00BD321E" w:rsidRDefault="00BD321E">
            <w:pPr>
              <w:rPr>
                <w:rFonts w:ascii="GHEA Grapalat" w:hAnsi="GHEA Grapalat"/>
                <w:lang w:val="en-US"/>
              </w:rPr>
            </w:pPr>
          </w:p>
          <w:p w:rsidR="00BD321E" w:rsidRDefault="00BD321E">
            <w:pPr>
              <w:rPr>
                <w:rFonts w:ascii="GHEA Grapalat" w:hAnsi="GHEA Grapalat"/>
                <w:lang w:val="en-US"/>
              </w:rPr>
            </w:pPr>
          </w:p>
          <w:p w:rsidR="00BD321E" w:rsidRDefault="00BD321E">
            <w:pPr>
              <w:rPr>
                <w:rFonts w:ascii="GHEA Grapalat" w:hAnsi="GHEA Grapalat"/>
                <w:lang w:val="en-US"/>
              </w:rPr>
            </w:pPr>
          </w:p>
          <w:p w:rsidR="00BD321E" w:rsidRDefault="00BD321E">
            <w:pPr>
              <w:rPr>
                <w:rFonts w:ascii="GHEA Grapalat" w:hAnsi="GHEA Grapalat"/>
                <w:lang w:val="en-US"/>
              </w:rPr>
            </w:pPr>
          </w:p>
          <w:p w:rsidR="00BD321E" w:rsidRDefault="00BD321E">
            <w:pPr>
              <w:rPr>
                <w:rFonts w:ascii="GHEA Grapalat" w:hAnsi="GHEA Grapalat"/>
                <w:lang w:val="en-US"/>
              </w:rPr>
            </w:pPr>
          </w:p>
          <w:p w:rsidR="00BD321E" w:rsidRDefault="00BD321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Չի ընդունվել</w:t>
            </w:r>
          </w:p>
          <w:p w:rsidR="00BD321E" w:rsidRDefault="00BD321E">
            <w:pPr>
              <w:ind w:left="-80" w:right="-110" w:hanging="90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Կատարված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դիտողությունները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գտնում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եմ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անընդունելի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քանի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խաղալիքների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անվտանգության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ստուգման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ստուգաթերթերի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3-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4-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կետերը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, 8-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, 10-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11-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կետերը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հանդիսանում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տարբեր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պահանջներ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ստուգաթերթի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4-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կետը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նախատեսված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չափագիտության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լիազոր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մարմնում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հսկողություն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իրականացնելու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:</w:t>
            </w:r>
          </w:p>
          <w:p w:rsidR="00BD321E" w:rsidRDefault="00BD321E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</w:tr>
      <w:tr w:rsidR="00BD321E" w:rsidTr="00BD321E">
        <w:trPr>
          <w:trHeight w:val="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 w:rsidP="008B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Հայաստանի Հանրապետության արտակարգ իրավիճակների նախարարություն 29.09.2016թ., №  1/06.1/11133-16 գրություն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tabs>
                <w:tab w:val="left" w:pos="990"/>
              </w:tabs>
              <w:ind w:right="273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>Առաջարկություններ չկան: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</w:tc>
      </w:tr>
      <w:tr w:rsidR="00BD321E" w:rsidTr="00BD321E">
        <w:trPr>
          <w:trHeight w:val="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 w:rsidP="008B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Հայաստանի Հանրապետության միջազգային տնտեսական ինտեգրման և բարեփոխումների նախարարություն 30.09.2016թ., №  01/06.3/3280-16 գրություն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tabs>
                <w:tab w:val="left" w:pos="990"/>
              </w:tabs>
              <w:ind w:right="273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>Առաջարկություններ չկան: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</w:tc>
      </w:tr>
      <w:tr w:rsidR="00BD321E" w:rsidTr="00BD321E">
        <w:trPr>
          <w:trHeight w:val="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 w:rsidP="008B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ՀՀ ԿԱ պետական եկամուտների կոմիտե 29.09.2016թ., № 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01/2-2/29338-16 գրություն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tabs>
                <w:tab w:val="left" w:pos="990"/>
              </w:tabs>
              <w:ind w:right="273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lastRenderedPageBreak/>
              <w:t>Առաջարկություններ չկան: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</w:tc>
      </w:tr>
      <w:tr w:rsidR="00BD321E" w:rsidTr="00BD321E">
        <w:trPr>
          <w:trHeight w:val="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 w:rsidP="008B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ՀՀ ԿԱ քաղաքացիական ավիացիայի գլխավոր վարչություն 30.09.2016թ., №  1.1/9.1/1685-16 գրություն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tabs>
                <w:tab w:val="left" w:pos="990"/>
              </w:tabs>
              <w:ind w:right="273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>Առաջարկություններ չկան: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</w:tc>
      </w:tr>
      <w:tr w:rsidR="00BD321E" w:rsidTr="00BD321E">
        <w:trPr>
          <w:trHeight w:val="5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 w:rsidP="008B5BF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E" w:rsidRDefault="00BD321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ՀՀ կառավարության հանձնարարական</w:t>
            </w:r>
          </w:p>
          <w:p w:rsidR="00BD321E" w:rsidRDefault="00BD321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02/23.18/12970-16</w:t>
            </w:r>
          </w:p>
          <w:p w:rsidR="00BD321E" w:rsidRDefault="00BD321E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07.09.2016թ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tabs>
                <w:tab w:val="left" w:pos="990"/>
              </w:tabs>
              <w:ind w:right="273"/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 w:eastAsia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af-ZA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Նախագծի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2-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րդ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կետում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որոշման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ուժի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մեջ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մտնելու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ժամկետն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անհրաժեշտ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է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սահմանել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պաշտոնական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հրապարակմանը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հաջորդող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10-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րդ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օրը</w:t>
            </w:r>
          </w:p>
          <w:p w:rsidR="00BD321E" w:rsidRDefault="00BD321E">
            <w:pPr>
              <w:pStyle w:val="ListParagraph"/>
              <w:shd w:val="clear" w:color="auto" w:fill="FFFFFF"/>
              <w:spacing w:after="0" w:line="240" w:lineRule="auto"/>
              <w:ind w:left="-108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>2.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արցաշարերի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հարցի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համար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հիմք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հանդիսացող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նորմը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սյունյակում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առաջարկում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ենք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հղում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կատարել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կառավարության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համապատասխան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որոշումներին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քննարկել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Մաքսային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միության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հանձնաժողովի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համապատասխան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որոշումները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տեղայնացնելու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հարցը՝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հիմք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ընդունելով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Սահմանադրական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դատարանի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2014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թվականի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նոյեմբերի</w:t>
            </w:r>
            <w:r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14 </w:t>
            </w:r>
            <w:r>
              <w:rPr>
                <w:rFonts w:ascii="GHEA Grapalat" w:hAnsi="GHEA Grapalat" w:cs="Sylfaen"/>
                <w:sz w:val="20"/>
                <w:szCs w:val="20"/>
              </w:rPr>
              <w:t>ՍԴՈ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-1175 </w:t>
            </w:r>
            <w:r>
              <w:rPr>
                <w:rFonts w:ascii="GHEA Grapalat" w:hAnsi="GHEA Grapalat"/>
                <w:sz w:val="20"/>
                <w:szCs w:val="20"/>
              </w:rPr>
              <w:t>որոշումը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BD321E" w:rsidRDefault="00BD321E">
            <w:pPr>
              <w:pStyle w:val="ListParagraph"/>
              <w:shd w:val="clear" w:color="auto" w:fill="FFFFFF"/>
              <w:spacing w:after="0" w:line="240" w:lineRule="auto"/>
              <w:ind w:left="-108"/>
              <w:jc w:val="both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3.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Առաջարկում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ենք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քննարկել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ՀՀ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կառավարության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2013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թվականի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մարտի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23-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ի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«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Հ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այաստանի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անրապետության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էկոնոմիկայի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նախարարության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աշխատակազմի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շուկայի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վերահսկողության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պետական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տեսչության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կողմից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անցկացվող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`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ռիսկի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վրա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հիմնված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ստուգումների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ստուգաթերթերը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հաստատելու</w:t>
            </w:r>
            <w:r>
              <w:rPr>
                <w:rStyle w:val="Strong"/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</w:rPr>
              <w:t>մասին</w:t>
            </w:r>
            <w:r>
              <w:rPr>
                <w:rStyle w:val="Strong"/>
                <w:rFonts w:ascii="GHEA Grapalat" w:hAnsi="GHEA Grapalat" w:cs="Sylfaen"/>
                <w:sz w:val="20"/>
                <w:szCs w:val="20"/>
                <w:lang w:val="fr-FR"/>
              </w:rPr>
              <w:t>»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N 370-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որոշումն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ուժը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կորցրած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ճանաչելու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հարցը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fr-FR"/>
              </w:rPr>
              <w:t>:</w:t>
            </w:r>
          </w:p>
          <w:p w:rsidR="00BD321E" w:rsidRDefault="00BD321E">
            <w:pPr>
              <w:pStyle w:val="ListParagraph"/>
              <w:shd w:val="clear" w:color="auto" w:fill="FFFFFF"/>
              <w:spacing w:after="0" w:line="240" w:lineRule="auto"/>
              <w:ind w:left="-108"/>
              <w:rPr>
                <w:rFonts w:ascii="GHEA Grapalat" w:hAnsi="GHEA Grapalat"/>
                <w:b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fr-FR"/>
              </w:rPr>
              <w:t>4.</w:t>
            </w:r>
            <w:r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>Ա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ռաջարկում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ենք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նախագիծը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համաձայնեցնել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բոլոր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շահագրգիռ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մարմինների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հետ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մասնավորապես՝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ՀՀ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միջազգային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տնտեսական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ինտեգրման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և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lastRenderedPageBreak/>
              <w:t>բարեփոխումների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ՀՀ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արտակարգ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իրավիճակների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նախարարությունների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ՀՀ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ԿԱ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պետական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եկամուտների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կոմիտեի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և</w:t>
            </w:r>
            <w:r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ԿԱ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քաղաքացիական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ավիացիայի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վարչության</w:t>
            </w:r>
            <w:r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հետ</w:t>
            </w:r>
          </w:p>
          <w:p w:rsidR="00BD321E" w:rsidRDefault="00BD321E">
            <w:pPr>
              <w:tabs>
                <w:tab w:val="left" w:pos="990"/>
              </w:tabs>
              <w:ind w:right="273"/>
              <w:rPr>
                <w:rFonts w:ascii="GHEA Grapalat" w:hAnsi="GHEA Grapalat"/>
                <w:lang w:val="fr-FR"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</w:t>
            </w:r>
          </w:p>
          <w:p w:rsidR="00BD321E" w:rsidRDefault="00BD321E">
            <w:pPr>
              <w:ind w:left="-108" w:right="-108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փոփոխությունը</w:t>
            </w:r>
            <w:proofErr w:type="spellEnd"/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Հիմք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Եվրասիական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տնտեսական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միության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պայմանագրի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52-րդ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հոդված</w:t>
            </w:r>
            <w:proofErr w:type="spellEnd"/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փոփոխությունը</w:t>
            </w:r>
            <w:proofErr w:type="spellEnd"/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</w:p>
          <w:p w:rsidR="00BD321E" w:rsidRDefault="00BD321E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Ներկայացվել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շահագրգիռ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մարմիններին</w:t>
            </w:r>
            <w:proofErr w:type="spellEnd"/>
          </w:p>
        </w:tc>
      </w:tr>
    </w:tbl>
    <w:p w:rsidR="00BD321E" w:rsidRDefault="00BD321E" w:rsidP="00BD321E">
      <w:pPr>
        <w:rPr>
          <w:rFonts w:ascii="GHEA Grapalat" w:hAnsi="GHEA Grapalat" w:cs="Arial"/>
          <w:lang w:val="fr-FR"/>
        </w:rPr>
      </w:pPr>
    </w:p>
    <w:p w:rsidR="009A6E6A" w:rsidRDefault="009A6E6A"/>
    <w:sectPr w:rsidR="009A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2768"/>
    <w:multiLevelType w:val="hybridMultilevel"/>
    <w:tmpl w:val="17A684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5E"/>
    <w:rsid w:val="0056205E"/>
    <w:rsid w:val="009A6E6A"/>
    <w:rsid w:val="00B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2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BD32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2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BD3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Bostanchyan</dc:creator>
  <cp:keywords/>
  <dc:description/>
  <cp:lastModifiedBy>Sophie Bostanchyan</cp:lastModifiedBy>
  <cp:revision>2</cp:revision>
  <dcterms:created xsi:type="dcterms:W3CDTF">2016-10-31T13:38:00Z</dcterms:created>
  <dcterms:modified xsi:type="dcterms:W3CDTF">2016-10-31T13:38:00Z</dcterms:modified>
</cp:coreProperties>
</file>