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64B" w:rsidRPr="00E628D7" w:rsidRDefault="0024664B" w:rsidP="0024664B">
      <w:pPr>
        <w:jc w:val="center"/>
        <w:rPr>
          <w:b/>
          <w:sz w:val="24"/>
          <w:szCs w:val="24"/>
        </w:rPr>
      </w:pPr>
      <w:r w:rsidRPr="00E628D7">
        <w:rPr>
          <w:b/>
          <w:sz w:val="24"/>
          <w:szCs w:val="24"/>
        </w:rPr>
        <w:t>ԱՄՓՈՓԱԹԵՐԹ</w:t>
      </w:r>
    </w:p>
    <w:p w:rsidR="0024664B" w:rsidRPr="00E628D7" w:rsidRDefault="0024664B" w:rsidP="0024664B">
      <w:pPr>
        <w:jc w:val="center"/>
        <w:rPr>
          <w:rFonts w:eastAsia="Times New Roman" w:cs="Times New Roman"/>
          <w:b/>
          <w:bCs/>
          <w:sz w:val="24"/>
          <w:szCs w:val="24"/>
        </w:rPr>
      </w:pPr>
      <w:r w:rsidRPr="00E628D7">
        <w:rPr>
          <w:b/>
          <w:sz w:val="24"/>
          <w:szCs w:val="24"/>
          <w:lang w:val="hy-AM"/>
        </w:rPr>
        <w:t>«Բանկերի և բանկային գործունեության մասին» Հայաստանի Հանրապետության օրենքում փոփոխություններ և լրացումներ կատարելու մասին»</w:t>
      </w:r>
      <w:r w:rsidRPr="00E628D7">
        <w:rPr>
          <w:b/>
          <w:sz w:val="24"/>
          <w:szCs w:val="24"/>
        </w:rPr>
        <w:t xml:space="preserve">, </w:t>
      </w:r>
      <w:r w:rsidRPr="00E628D7">
        <w:rPr>
          <w:b/>
          <w:sz w:val="24"/>
          <w:szCs w:val="24"/>
          <w:lang w:val="hy-AM"/>
        </w:rPr>
        <w:t>«Ապահովագրության և ապահովագրական գործունեության մասին» Հայաստանի Հանրապետության օրենքում փոփոխություններ և լրացումներ կատարելու մասին»</w:t>
      </w:r>
      <w:r w:rsidRPr="00E628D7">
        <w:rPr>
          <w:b/>
          <w:sz w:val="24"/>
          <w:szCs w:val="24"/>
        </w:rPr>
        <w:t xml:space="preserve">, </w:t>
      </w:r>
      <w:r w:rsidRPr="00E628D7">
        <w:rPr>
          <w:rFonts w:eastAsia="Times New Roman" w:cs="Times New Roman"/>
          <w:b/>
          <w:bCs/>
          <w:sz w:val="24"/>
          <w:szCs w:val="24"/>
        </w:rPr>
        <w:t xml:space="preserve">««Բանկերի, վարկային կազմակերպությունների, ներդրումային ընկերությունների եվ ապահովագրական ընկերությունների սնանկության մասին» Հայաստանի Հանրապետության օրենքում լրացումներ եվ փոփոխություններ  կատարելու մասին» ՀՀ օրենքների նախագծերի </w:t>
      </w:r>
    </w:p>
    <w:tbl>
      <w:tblPr>
        <w:tblStyle w:val="TableGrid"/>
        <w:tblW w:w="0" w:type="auto"/>
        <w:tblLook w:val="04A0" w:firstRow="1" w:lastRow="0" w:firstColumn="1" w:lastColumn="0" w:noHBand="0" w:noVBand="1"/>
      </w:tblPr>
      <w:tblGrid>
        <w:gridCol w:w="648"/>
        <w:gridCol w:w="3420"/>
        <w:gridCol w:w="5670"/>
        <w:gridCol w:w="3438"/>
      </w:tblGrid>
      <w:tr w:rsidR="0024664B" w:rsidRPr="00E628D7" w:rsidTr="0024664B">
        <w:tc>
          <w:tcPr>
            <w:tcW w:w="648" w:type="dxa"/>
          </w:tcPr>
          <w:p w:rsidR="0024664B" w:rsidRPr="00E628D7" w:rsidRDefault="0024664B" w:rsidP="0024664B">
            <w:pPr>
              <w:jc w:val="center"/>
              <w:rPr>
                <w:b/>
                <w:sz w:val="24"/>
                <w:szCs w:val="24"/>
              </w:rPr>
            </w:pPr>
            <w:r w:rsidRPr="00E628D7">
              <w:rPr>
                <w:b/>
                <w:sz w:val="24"/>
                <w:szCs w:val="24"/>
              </w:rPr>
              <w:t>N</w:t>
            </w:r>
          </w:p>
        </w:tc>
        <w:tc>
          <w:tcPr>
            <w:tcW w:w="3420" w:type="dxa"/>
          </w:tcPr>
          <w:p w:rsidR="0024664B" w:rsidRPr="00E628D7" w:rsidRDefault="0024664B" w:rsidP="00995A02">
            <w:pPr>
              <w:rPr>
                <w:rFonts w:cs="Sylfaen"/>
                <w:b/>
                <w:sz w:val="24"/>
                <w:szCs w:val="24"/>
                <w:lang w:val="fr-CA"/>
              </w:rPr>
            </w:pPr>
            <w:r w:rsidRPr="00E628D7">
              <w:rPr>
                <w:rFonts w:cs="Sylfaen"/>
                <w:b/>
                <w:sz w:val="24"/>
                <w:szCs w:val="24"/>
              </w:rPr>
              <w:t>Առաջարկության</w:t>
            </w:r>
            <w:r w:rsidRPr="00E628D7">
              <w:rPr>
                <w:b/>
                <w:sz w:val="24"/>
                <w:szCs w:val="24"/>
              </w:rPr>
              <w:t xml:space="preserve"> </w:t>
            </w:r>
            <w:r w:rsidRPr="00E628D7">
              <w:rPr>
                <w:rFonts w:cs="Sylfaen"/>
                <w:b/>
                <w:sz w:val="24"/>
                <w:szCs w:val="24"/>
              </w:rPr>
              <w:t>հեղինակ</w:t>
            </w:r>
          </w:p>
        </w:tc>
        <w:tc>
          <w:tcPr>
            <w:tcW w:w="5670" w:type="dxa"/>
          </w:tcPr>
          <w:p w:rsidR="0024664B" w:rsidRPr="00E628D7" w:rsidRDefault="0024664B" w:rsidP="00995A02">
            <w:pPr>
              <w:rPr>
                <w:rFonts w:cs="Sylfaen"/>
                <w:b/>
                <w:sz w:val="24"/>
                <w:szCs w:val="24"/>
                <w:lang w:val="fr-CA"/>
              </w:rPr>
            </w:pPr>
            <w:r w:rsidRPr="00E628D7">
              <w:rPr>
                <w:rFonts w:cs="Sylfaen"/>
                <w:b/>
                <w:sz w:val="24"/>
                <w:szCs w:val="24"/>
              </w:rPr>
              <w:t>Առաջարկության</w:t>
            </w:r>
            <w:r w:rsidRPr="00E628D7">
              <w:rPr>
                <w:b/>
                <w:sz w:val="24"/>
                <w:szCs w:val="24"/>
              </w:rPr>
              <w:t xml:space="preserve"> </w:t>
            </w:r>
            <w:r w:rsidRPr="00E628D7">
              <w:rPr>
                <w:rFonts w:cs="Sylfaen"/>
                <w:b/>
                <w:sz w:val="24"/>
                <w:szCs w:val="24"/>
              </w:rPr>
              <w:t>բովանդակությունը</w:t>
            </w:r>
          </w:p>
        </w:tc>
        <w:tc>
          <w:tcPr>
            <w:tcW w:w="3438" w:type="dxa"/>
          </w:tcPr>
          <w:p w:rsidR="0024664B" w:rsidRPr="00E628D7" w:rsidRDefault="0024664B" w:rsidP="00995A02">
            <w:pPr>
              <w:rPr>
                <w:rFonts w:cs="Sylfaen"/>
                <w:b/>
                <w:sz w:val="24"/>
                <w:szCs w:val="24"/>
                <w:lang w:val="fr-CA"/>
              </w:rPr>
            </w:pPr>
            <w:r w:rsidRPr="00E628D7">
              <w:rPr>
                <w:rFonts w:cs="Sylfaen"/>
                <w:b/>
                <w:sz w:val="24"/>
                <w:szCs w:val="24"/>
              </w:rPr>
              <w:t>Կենտրոնական</w:t>
            </w:r>
            <w:r w:rsidRPr="00E628D7">
              <w:rPr>
                <w:b/>
                <w:sz w:val="24"/>
                <w:szCs w:val="24"/>
              </w:rPr>
              <w:t xml:space="preserve"> </w:t>
            </w:r>
            <w:r w:rsidRPr="00E628D7">
              <w:rPr>
                <w:rFonts w:cs="Sylfaen"/>
                <w:b/>
                <w:sz w:val="24"/>
                <w:szCs w:val="24"/>
              </w:rPr>
              <w:t>բանկի</w:t>
            </w:r>
            <w:r w:rsidRPr="00E628D7">
              <w:rPr>
                <w:b/>
                <w:sz w:val="24"/>
                <w:szCs w:val="24"/>
              </w:rPr>
              <w:t xml:space="preserve"> </w:t>
            </w:r>
            <w:r w:rsidRPr="00E628D7">
              <w:rPr>
                <w:rFonts w:cs="Sylfaen"/>
                <w:b/>
                <w:sz w:val="24"/>
                <w:szCs w:val="24"/>
              </w:rPr>
              <w:t>դիրքորոշումը</w:t>
            </w:r>
          </w:p>
        </w:tc>
      </w:tr>
      <w:tr w:rsidR="0024664B" w:rsidRPr="00E628D7" w:rsidTr="0024664B">
        <w:tc>
          <w:tcPr>
            <w:tcW w:w="648" w:type="dxa"/>
          </w:tcPr>
          <w:p w:rsidR="0024664B" w:rsidRPr="00E628D7" w:rsidRDefault="0024664B" w:rsidP="0024664B">
            <w:pPr>
              <w:jc w:val="center"/>
              <w:rPr>
                <w:sz w:val="24"/>
                <w:szCs w:val="24"/>
              </w:rPr>
            </w:pPr>
            <w:r w:rsidRPr="00E628D7">
              <w:rPr>
                <w:sz w:val="24"/>
                <w:szCs w:val="24"/>
              </w:rPr>
              <w:t>1</w:t>
            </w:r>
          </w:p>
        </w:tc>
        <w:tc>
          <w:tcPr>
            <w:tcW w:w="3420" w:type="dxa"/>
          </w:tcPr>
          <w:p w:rsidR="0024664B" w:rsidRPr="00E628D7" w:rsidRDefault="0024664B" w:rsidP="0024664B">
            <w:pPr>
              <w:jc w:val="center"/>
              <w:rPr>
                <w:sz w:val="24"/>
                <w:szCs w:val="24"/>
              </w:rPr>
            </w:pPr>
            <w:r w:rsidRPr="00E628D7">
              <w:rPr>
                <w:sz w:val="24"/>
                <w:szCs w:val="24"/>
              </w:rPr>
              <w:t xml:space="preserve">ՀՀ ֆինանսների նախարարություն, 07/11-1/19955-16, 08.08.2016թ. </w:t>
            </w:r>
          </w:p>
        </w:tc>
        <w:tc>
          <w:tcPr>
            <w:tcW w:w="5670" w:type="dxa"/>
          </w:tcPr>
          <w:p w:rsidR="0024664B" w:rsidRPr="00E628D7" w:rsidRDefault="0024664B" w:rsidP="0024664B">
            <w:pPr>
              <w:jc w:val="center"/>
              <w:rPr>
                <w:sz w:val="24"/>
                <w:szCs w:val="24"/>
              </w:rPr>
            </w:pPr>
            <w:r w:rsidRPr="00E628D7">
              <w:rPr>
                <w:sz w:val="24"/>
                <w:szCs w:val="24"/>
              </w:rPr>
              <w:t xml:space="preserve">Դիտողություններ և առաջարկություններ չկան, </w:t>
            </w:r>
          </w:p>
          <w:p w:rsidR="0024664B" w:rsidRPr="00E628D7" w:rsidRDefault="0024664B" w:rsidP="0024664B">
            <w:pPr>
              <w:jc w:val="center"/>
              <w:rPr>
                <w:sz w:val="24"/>
                <w:szCs w:val="24"/>
              </w:rPr>
            </w:pPr>
          </w:p>
          <w:p w:rsidR="0024664B" w:rsidRPr="00E628D7" w:rsidRDefault="000E5E7C" w:rsidP="000E5E7C">
            <w:pPr>
              <w:rPr>
                <w:sz w:val="24"/>
                <w:szCs w:val="24"/>
              </w:rPr>
            </w:pPr>
            <w:r w:rsidRPr="00E628D7">
              <w:rPr>
                <w:sz w:val="24"/>
                <w:szCs w:val="24"/>
              </w:rPr>
              <w:t xml:space="preserve">ԿԱԳ </w:t>
            </w:r>
            <w:r w:rsidR="0024664B" w:rsidRPr="00E628D7">
              <w:rPr>
                <w:sz w:val="24"/>
                <w:szCs w:val="24"/>
              </w:rPr>
              <w:t xml:space="preserve">բյուջետային բնագավառում </w:t>
            </w:r>
            <w:r w:rsidR="0024664B" w:rsidRPr="00E628D7">
              <w:rPr>
                <w:b/>
                <w:sz w:val="24"/>
                <w:szCs w:val="24"/>
              </w:rPr>
              <w:t>չեզոք</w:t>
            </w:r>
            <w:r w:rsidR="0024664B" w:rsidRPr="00E628D7">
              <w:rPr>
                <w:sz w:val="24"/>
                <w:szCs w:val="24"/>
              </w:rPr>
              <w:t xml:space="preserve"> ազդեցություն</w:t>
            </w:r>
          </w:p>
        </w:tc>
        <w:tc>
          <w:tcPr>
            <w:tcW w:w="3438" w:type="dxa"/>
          </w:tcPr>
          <w:p w:rsidR="0024664B" w:rsidRPr="00E628D7" w:rsidRDefault="0024664B" w:rsidP="0024664B">
            <w:pPr>
              <w:jc w:val="center"/>
              <w:rPr>
                <w:sz w:val="24"/>
                <w:szCs w:val="24"/>
              </w:rPr>
            </w:pPr>
            <w:r w:rsidRPr="00E628D7">
              <w:rPr>
                <w:sz w:val="24"/>
                <w:szCs w:val="24"/>
              </w:rPr>
              <w:t>Ընդունվել է ի գիտություն</w:t>
            </w:r>
          </w:p>
        </w:tc>
      </w:tr>
      <w:tr w:rsidR="0024664B" w:rsidRPr="00E628D7" w:rsidTr="0024664B">
        <w:tc>
          <w:tcPr>
            <w:tcW w:w="648" w:type="dxa"/>
          </w:tcPr>
          <w:p w:rsidR="0024664B" w:rsidRPr="00E628D7" w:rsidRDefault="0024664B" w:rsidP="0024664B">
            <w:pPr>
              <w:jc w:val="center"/>
              <w:rPr>
                <w:sz w:val="24"/>
                <w:szCs w:val="24"/>
              </w:rPr>
            </w:pPr>
            <w:r w:rsidRPr="00E628D7">
              <w:rPr>
                <w:sz w:val="24"/>
                <w:szCs w:val="24"/>
              </w:rPr>
              <w:t>2.</w:t>
            </w:r>
          </w:p>
        </w:tc>
        <w:tc>
          <w:tcPr>
            <w:tcW w:w="3420" w:type="dxa"/>
          </w:tcPr>
          <w:p w:rsidR="0024664B" w:rsidRPr="00E628D7" w:rsidRDefault="00EB1BD1" w:rsidP="0024664B">
            <w:pPr>
              <w:jc w:val="center"/>
              <w:rPr>
                <w:sz w:val="24"/>
                <w:szCs w:val="24"/>
              </w:rPr>
            </w:pPr>
            <w:r w:rsidRPr="00E628D7">
              <w:rPr>
                <w:sz w:val="24"/>
                <w:szCs w:val="24"/>
              </w:rPr>
              <w:t xml:space="preserve">ՀՀ էկոնոմիկայի նախարարություն, </w:t>
            </w:r>
            <w:r w:rsidR="000E5E7C" w:rsidRPr="00E628D7">
              <w:rPr>
                <w:sz w:val="24"/>
                <w:szCs w:val="24"/>
              </w:rPr>
              <w:t>01/10.2/6761-16, 15.08.2016թ.</w:t>
            </w:r>
          </w:p>
        </w:tc>
        <w:tc>
          <w:tcPr>
            <w:tcW w:w="5670" w:type="dxa"/>
          </w:tcPr>
          <w:p w:rsidR="000E5E7C" w:rsidRPr="00E628D7" w:rsidRDefault="000E5E7C" w:rsidP="000E5E7C">
            <w:pPr>
              <w:spacing w:line="360" w:lineRule="auto"/>
              <w:ind w:firstLine="720"/>
              <w:contextualSpacing/>
              <w:jc w:val="both"/>
              <w:rPr>
                <w:i/>
                <w:lang w:val="hy-AM"/>
              </w:rPr>
            </w:pPr>
            <w:r w:rsidRPr="00E628D7">
              <w:rPr>
                <w:i/>
                <w:lang w:val="hy-AM"/>
              </w:rPr>
              <w:t xml:space="preserve">«Բանկերի և բանկային գործունեության մասին» ՀՀ օրենքում փոփոխություններ և լրացումներ կատարելու մասին» ՀՀ օրենքի նախագծի </w:t>
            </w:r>
          </w:p>
          <w:p w:rsidR="0024664B" w:rsidRPr="00E628D7" w:rsidRDefault="000E5E7C" w:rsidP="00CA54E0">
            <w:pPr>
              <w:pStyle w:val="ListParagraph"/>
              <w:numPr>
                <w:ilvl w:val="0"/>
                <w:numId w:val="1"/>
              </w:numPr>
              <w:spacing w:line="360" w:lineRule="auto"/>
              <w:ind w:left="0" w:firstLine="0"/>
              <w:jc w:val="both"/>
              <w:rPr>
                <w:rFonts w:ascii="GHEA Grapalat" w:hAnsi="GHEA Grapalat"/>
                <w:sz w:val="24"/>
                <w:szCs w:val="24"/>
                <w:lang w:val="hy-AM"/>
              </w:rPr>
            </w:pPr>
            <w:r w:rsidRPr="00E628D7">
              <w:rPr>
                <w:rFonts w:ascii="GHEA Grapalat" w:hAnsi="GHEA Grapalat"/>
                <w:sz w:val="24"/>
                <w:szCs w:val="24"/>
                <w:lang w:val="hy-AM"/>
              </w:rPr>
              <w:t xml:space="preserve">1-ին հոդվածով նախատեսված` </w:t>
            </w:r>
            <w:r w:rsidRPr="00E628D7">
              <w:rPr>
                <w:rFonts w:ascii="GHEA Grapalat" w:hAnsi="GHEA Grapalat"/>
                <w:color w:val="000000"/>
                <w:sz w:val="24"/>
                <w:szCs w:val="24"/>
                <w:lang w:val="hy-AM"/>
              </w:rPr>
              <w:t>միևնույն ընտանիքի անդամ համարել  նաև ամուսնու զավակին,</w:t>
            </w:r>
          </w:p>
        </w:tc>
        <w:tc>
          <w:tcPr>
            <w:tcW w:w="3438" w:type="dxa"/>
          </w:tcPr>
          <w:p w:rsidR="0024664B" w:rsidRPr="00E628D7" w:rsidRDefault="00CA54E0" w:rsidP="00CA54E0">
            <w:pPr>
              <w:rPr>
                <w:sz w:val="24"/>
                <w:szCs w:val="24"/>
              </w:rPr>
            </w:pPr>
            <w:r w:rsidRPr="00E628D7">
              <w:rPr>
                <w:sz w:val="24"/>
                <w:szCs w:val="24"/>
              </w:rPr>
              <w:t xml:space="preserve">Ընդունելի է: Նշված հոդվածում ավելացվել է նաև ամուսնու զավակը, որպես փոխկապակցված անձ: </w:t>
            </w:r>
          </w:p>
        </w:tc>
      </w:tr>
      <w:tr w:rsidR="0024664B" w:rsidRPr="00E628D7" w:rsidTr="0024664B">
        <w:tc>
          <w:tcPr>
            <w:tcW w:w="648" w:type="dxa"/>
          </w:tcPr>
          <w:p w:rsidR="0024664B" w:rsidRPr="00E628D7" w:rsidRDefault="0024664B" w:rsidP="0024664B">
            <w:pPr>
              <w:jc w:val="center"/>
              <w:rPr>
                <w:sz w:val="24"/>
                <w:szCs w:val="24"/>
              </w:rPr>
            </w:pPr>
          </w:p>
        </w:tc>
        <w:tc>
          <w:tcPr>
            <w:tcW w:w="3420" w:type="dxa"/>
          </w:tcPr>
          <w:p w:rsidR="0024664B" w:rsidRPr="00E628D7" w:rsidRDefault="0024664B" w:rsidP="0024664B">
            <w:pPr>
              <w:jc w:val="center"/>
              <w:rPr>
                <w:sz w:val="24"/>
                <w:szCs w:val="24"/>
              </w:rPr>
            </w:pPr>
          </w:p>
        </w:tc>
        <w:tc>
          <w:tcPr>
            <w:tcW w:w="5670" w:type="dxa"/>
          </w:tcPr>
          <w:p w:rsidR="0024664B" w:rsidRPr="00E628D7" w:rsidRDefault="00CA54E0" w:rsidP="00CA54E0">
            <w:pPr>
              <w:rPr>
                <w:sz w:val="24"/>
                <w:szCs w:val="24"/>
              </w:rPr>
            </w:pPr>
            <w:r w:rsidRPr="00E628D7">
              <w:rPr>
                <w:color w:val="000000"/>
                <w:sz w:val="24"/>
                <w:szCs w:val="24"/>
                <w:lang w:val="hy-AM"/>
              </w:rPr>
              <w:t xml:space="preserve">3-րդ հոդվածի 4.2. կետով </w:t>
            </w:r>
            <w:r w:rsidRPr="00E628D7">
              <w:rPr>
                <w:color w:val="000000"/>
                <w:sz w:val="24"/>
                <w:szCs w:val="24"/>
              </w:rPr>
              <w:t>նախատես</w:t>
            </w:r>
            <w:r w:rsidRPr="00E628D7">
              <w:rPr>
                <w:color w:val="000000"/>
                <w:sz w:val="24"/>
                <w:szCs w:val="24"/>
                <w:lang w:val="hy-AM"/>
              </w:rPr>
              <w:t>ված` շահութաբաժինների բաշխումը սահմանափակելու չափանիշներ</w:t>
            </w:r>
            <w:r w:rsidRPr="00E628D7">
              <w:rPr>
                <w:color w:val="000000"/>
                <w:sz w:val="24"/>
                <w:szCs w:val="24"/>
              </w:rPr>
              <w:t>ը սահմանել</w:t>
            </w:r>
            <w:r w:rsidRPr="00E628D7">
              <w:rPr>
                <w:color w:val="000000"/>
                <w:sz w:val="24"/>
                <w:szCs w:val="24"/>
                <w:lang w:val="hy-AM"/>
              </w:rPr>
              <w:t xml:space="preserve"> </w:t>
            </w:r>
            <w:r w:rsidRPr="00E628D7">
              <w:rPr>
                <w:color w:val="000000"/>
                <w:sz w:val="24"/>
                <w:szCs w:val="24"/>
                <w:lang w:val="hy-AM"/>
              </w:rPr>
              <w:lastRenderedPageBreak/>
              <w:t>օրենքով:</w:t>
            </w:r>
          </w:p>
        </w:tc>
        <w:tc>
          <w:tcPr>
            <w:tcW w:w="3438" w:type="dxa"/>
          </w:tcPr>
          <w:p w:rsidR="0024664B" w:rsidRPr="00E628D7" w:rsidRDefault="00CA54E0" w:rsidP="00EE46F9">
            <w:pPr>
              <w:rPr>
                <w:sz w:val="24"/>
                <w:szCs w:val="24"/>
              </w:rPr>
            </w:pPr>
            <w:r w:rsidRPr="00E628D7">
              <w:rPr>
                <w:sz w:val="24"/>
                <w:szCs w:val="24"/>
              </w:rPr>
              <w:lastRenderedPageBreak/>
              <w:t xml:space="preserve">Ընդունելի չէ: Այդ չափանիշները </w:t>
            </w:r>
            <w:r w:rsidR="00EE46F9" w:rsidRPr="00E628D7">
              <w:rPr>
                <w:sz w:val="24"/>
                <w:szCs w:val="24"/>
              </w:rPr>
              <w:t xml:space="preserve">հաշվարկային </w:t>
            </w:r>
            <w:r w:rsidRPr="00E628D7">
              <w:rPr>
                <w:sz w:val="24"/>
                <w:szCs w:val="24"/>
              </w:rPr>
              <w:t xml:space="preserve"> բնույթ են կրում՝ </w:t>
            </w:r>
            <w:r w:rsidR="00EE46F9" w:rsidRPr="00E628D7">
              <w:rPr>
                <w:sz w:val="24"/>
                <w:szCs w:val="24"/>
              </w:rPr>
              <w:t xml:space="preserve">թվային </w:t>
            </w:r>
            <w:r w:rsidRPr="00E628D7">
              <w:rPr>
                <w:sz w:val="24"/>
                <w:szCs w:val="24"/>
              </w:rPr>
              <w:t xml:space="preserve"> </w:t>
            </w:r>
            <w:r w:rsidRPr="00E628D7">
              <w:rPr>
                <w:sz w:val="24"/>
                <w:szCs w:val="24"/>
              </w:rPr>
              <w:lastRenderedPageBreak/>
              <w:t xml:space="preserve">մեծությունների վրա հիմնվող, որոնք ենթակա են փոփոխման իրավիճակից ելնելով: </w:t>
            </w:r>
          </w:p>
        </w:tc>
      </w:tr>
      <w:tr w:rsidR="00CA54E0" w:rsidRPr="00E628D7" w:rsidTr="0024664B">
        <w:tc>
          <w:tcPr>
            <w:tcW w:w="648" w:type="dxa"/>
          </w:tcPr>
          <w:p w:rsidR="00CA54E0" w:rsidRPr="00E628D7" w:rsidRDefault="00CA54E0" w:rsidP="0024664B">
            <w:pPr>
              <w:jc w:val="center"/>
              <w:rPr>
                <w:sz w:val="24"/>
                <w:szCs w:val="24"/>
              </w:rPr>
            </w:pPr>
          </w:p>
        </w:tc>
        <w:tc>
          <w:tcPr>
            <w:tcW w:w="3420" w:type="dxa"/>
          </w:tcPr>
          <w:p w:rsidR="00CA54E0" w:rsidRPr="00E628D7" w:rsidRDefault="00CA54E0" w:rsidP="0024664B">
            <w:pPr>
              <w:jc w:val="center"/>
              <w:rPr>
                <w:sz w:val="24"/>
                <w:szCs w:val="24"/>
              </w:rPr>
            </w:pPr>
          </w:p>
        </w:tc>
        <w:tc>
          <w:tcPr>
            <w:tcW w:w="5670" w:type="dxa"/>
          </w:tcPr>
          <w:p w:rsidR="00CA54E0" w:rsidRPr="00E628D7" w:rsidRDefault="00CA54E0" w:rsidP="00CA54E0">
            <w:pPr>
              <w:spacing w:line="360" w:lineRule="auto"/>
              <w:ind w:firstLine="720"/>
              <w:contextualSpacing/>
              <w:jc w:val="both"/>
              <w:rPr>
                <w:i/>
              </w:rPr>
            </w:pPr>
            <w:r w:rsidRPr="00E628D7">
              <w:rPr>
                <w:i/>
                <w:lang w:val="hy-AM"/>
              </w:rPr>
              <w:t>«Ապահովագրության և ապահովագրական գործունեության մասին» ՀՀ օրենքում փոփոխություններ և լրացումներ կատարելու մասին»</w:t>
            </w:r>
            <w:r w:rsidRPr="00E628D7">
              <w:rPr>
                <w:lang w:val="hy-AM"/>
              </w:rPr>
              <w:t xml:space="preserve"> </w:t>
            </w:r>
            <w:r w:rsidRPr="00E628D7">
              <w:rPr>
                <w:i/>
                <w:lang w:val="hy-AM"/>
              </w:rPr>
              <w:t xml:space="preserve">ՀՀ օրենքի նախագծի </w:t>
            </w:r>
            <w:r w:rsidRPr="00E628D7">
              <w:rPr>
                <w:lang w:val="hy-AM"/>
              </w:rPr>
              <w:t>2-րդ հոդվածով նախատեսված` միևնույն ընտանիքի անդամ համարվող, ինչպես նաև միևնույն հարկի տակ բնակվող կամ միևնույն տնտեսություն վարող անձ համարել նաև ամուսնու զավակին:</w:t>
            </w:r>
          </w:p>
        </w:tc>
        <w:tc>
          <w:tcPr>
            <w:tcW w:w="3438" w:type="dxa"/>
          </w:tcPr>
          <w:p w:rsidR="00CA54E0" w:rsidRPr="00E628D7" w:rsidRDefault="00CA54E0" w:rsidP="00CA54E0">
            <w:pPr>
              <w:rPr>
                <w:sz w:val="24"/>
                <w:szCs w:val="24"/>
              </w:rPr>
            </w:pPr>
            <w:r w:rsidRPr="00E628D7">
              <w:rPr>
                <w:sz w:val="24"/>
                <w:szCs w:val="24"/>
              </w:rPr>
              <w:t>Ընդունելի է: Նշված հոդվածում ավելացվել է նաև ամուսնու զավակը, որպես փոխկապակցված անձ:</w:t>
            </w:r>
          </w:p>
        </w:tc>
      </w:tr>
      <w:tr w:rsidR="0024664B" w:rsidRPr="00E628D7" w:rsidTr="0024664B">
        <w:tc>
          <w:tcPr>
            <w:tcW w:w="648" w:type="dxa"/>
          </w:tcPr>
          <w:p w:rsidR="0024664B" w:rsidRPr="00E628D7" w:rsidRDefault="0024664B" w:rsidP="0024664B">
            <w:pPr>
              <w:jc w:val="center"/>
              <w:rPr>
                <w:sz w:val="24"/>
                <w:szCs w:val="24"/>
              </w:rPr>
            </w:pPr>
          </w:p>
        </w:tc>
        <w:tc>
          <w:tcPr>
            <w:tcW w:w="3420" w:type="dxa"/>
          </w:tcPr>
          <w:p w:rsidR="0024664B" w:rsidRPr="00E628D7" w:rsidRDefault="0024664B" w:rsidP="0024664B">
            <w:pPr>
              <w:jc w:val="center"/>
              <w:rPr>
                <w:sz w:val="24"/>
                <w:szCs w:val="24"/>
              </w:rPr>
            </w:pPr>
          </w:p>
        </w:tc>
        <w:tc>
          <w:tcPr>
            <w:tcW w:w="5670" w:type="dxa"/>
          </w:tcPr>
          <w:p w:rsidR="0024664B" w:rsidRPr="00E628D7" w:rsidRDefault="00CA54E0" w:rsidP="00CA54E0">
            <w:pPr>
              <w:rPr>
                <w:sz w:val="24"/>
                <w:szCs w:val="24"/>
              </w:rPr>
            </w:pPr>
            <w:r w:rsidRPr="00E628D7">
              <w:rPr>
                <w:sz w:val="24"/>
                <w:szCs w:val="24"/>
              </w:rPr>
              <w:t xml:space="preserve">ԿԱԳ </w:t>
            </w:r>
            <w:r w:rsidRPr="00E628D7">
              <w:rPr>
                <w:sz w:val="24"/>
                <w:szCs w:val="24"/>
                <w:lang w:val="hy-AM"/>
              </w:rPr>
              <w:t>տնտեսական, այդ թվում` փոքր և միջին ձեռնարկատիրության բնագավառում</w:t>
            </w:r>
            <w:r w:rsidRPr="00E628D7">
              <w:rPr>
                <w:sz w:val="24"/>
                <w:szCs w:val="24"/>
              </w:rPr>
              <w:t xml:space="preserve"> </w:t>
            </w:r>
            <w:r w:rsidRPr="00E628D7">
              <w:rPr>
                <w:rFonts w:eastAsia="Times New Roman" w:cs="Arial"/>
                <w:b/>
                <w:noProof/>
                <w:lang w:eastAsia="ru-RU"/>
              </w:rPr>
              <w:t>չեզոք</w:t>
            </w:r>
            <w:r w:rsidRPr="00E628D7">
              <w:rPr>
                <w:rFonts w:eastAsia="Times New Roman" w:cs="Arial"/>
                <w:noProof/>
                <w:lang w:eastAsia="ru-RU"/>
              </w:rPr>
              <w:t xml:space="preserve"> </w:t>
            </w:r>
            <w:r w:rsidRPr="00E628D7">
              <w:rPr>
                <w:sz w:val="24"/>
                <w:szCs w:val="24"/>
              </w:rPr>
              <w:t xml:space="preserve">և </w:t>
            </w:r>
            <w:r w:rsidRPr="00E628D7">
              <w:rPr>
                <w:rFonts w:eastAsia="Times New Roman" w:cs="Arial"/>
                <w:noProof/>
                <w:lang w:val="hy-AM" w:eastAsia="ru-RU"/>
              </w:rPr>
              <w:t>մրցակցության բնագավառում</w:t>
            </w:r>
            <w:r w:rsidRPr="00E628D7">
              <w:rPr>
                <w:rFonts w:eastAsia="Times New Roman" w:cs="Arial"/>
                <w:noProof/>
                <w:lang w:eastAsia="ru-RU"/>
              </w:rPr>
              <w:t xml:space="preserve"> </w:t>
            </w:r>
            <w:r w:rsidRPr="00E628D7">
              <w:rPr>
                <w:i/>
                <w:sz w:val="24"/>
                <w:szCs w:val="24"/>
                <w:lang w:val="af-ZA"/>
              </w:rPr>
              <w:t xml:space="preserve">զգալի </w:t>
            </w:r>
            <w:r w:rsidRPr="00E628D7">
              <w:rPr>
                <w:i/>
                <w:sz w:val="24"/>
                <w:szCs w:val="24"/>
              </w:rPr>
              <w:t>ազդեցություն</w:t>
            </w:r>
            <w:r w:rsidRPr="00E628D7">
              <w:rPr>
                <w:i/>
                <w:sz w:val="24"/>
                <w:szCs w:val="24"/>
                <w:lang w:val="af-ZA"/>
              </w:rPr>
              <w:t xml:space="preserve"> </w:t>
            </w:r>
            <w:r w:rsidRPr="00E628D7">
              <w:rPr>
                <w:i/>
                <w:sz w:val="24"/>
                <w:szCs w:val="24"/>
              </w:rPr>
              <w:t>չհայտնաբերվելու</w:t>
            </w:r>
          </w:p>
        </w:tc>
        <w:tc>
          <w:tcPr>
            <w:tcW w:w="3438" w:type="dxa"/>
          </w:tcPr>
          <w:p w:rsidR="0024664B" w:rsidRPr="00E628D7" w:rsidRDefault="00CA54E0" w:rsidP="00CA54E0">
            <w:pPr>
              <w:rPr>
                <w:sz w:val="24"/>
                <w:szCs w:val="24"/>
              </w:rPr>
            </w:pPr>
            <w:r w:rsidRPr="00E628D7">
              <w:rPr>
                <w:sz w:val="24"/>
                <w:szCs w:val="24"/>
              </w:rPr>
              <w:t>Ընդունվել է ի գիտություն:</w:t>
            </w:r>
          </w:p>
        </w:tc>
      </w:tr>
      <w:tr w:rsidR="00F928E6" w:rsidRPr="00E628D7" w:rsidTr="0024664B">
        <w:tc>
          <w:tcPr>
            <w:tcW w:w="648" w:type="dxa"/>
          </w:tcPr>
          <w:p w:rsidR="00F928E6" w:rsidRPr="00E628D7" w:rsidRDefault="00F928E6" w:rsidP="0024664B">
            <w:pPr>
              <w:jc w:val="center"/>
              <w:rPr>
                <w:sz w:val="24"/>
                <w:szCs w:val="24"/>
              </w:rPr>
            </w:pPr>
            <w:r w:rsidRPr="00E628D7">
              <w:rPr>
                <w:sz w:val="24"/>
                <w:szCs w:val="24"/>
              </w:rPr>
              <w:t>3.</w:t>
            </w:r>
          </w:p>
        </w:tc>
        <w:tc>
          <w:tcPr>
            <w:tcW w:w="3420" w:type="dxa"/>
          </w:tcPr>
          <w:p w:rsidR="00F928E6" w:rsidRPr="00E628D7" w:rsidRDefault="00F928E6" w:rsidP="0024664B">
            <w:pPr>
              <w:jc w:val="center"/>
              <w:rPr>
                <w:sz w:val="24"/>
                <w:szCs w:val="24"/>
              </w:rPr>
            </w:pPr>
            <w:r w:rsidRPr="00E628D7">
              <w:rPr>
                <w:sz w:val="24"/>
                <w:szCs w:val="24"/>
              </w:rPr>
              <w:t>ՀՀ աշխատանքի և սոցիալական հարցերի նախարարություն</w:t>
            </w:r>
          </w:p>
        </w:tc>
        <w:tc>
          <w:tcPr>
            <w:tcW w:w="5670" w:type="dxa"/>
          </w:tcPr>
          <w:p w:rsidR="00F928E6" w:rsidRPr="00E628D7" w:rsidRDefault="00F928E6" w:rsidP="00CA54E0">
            <w:pPr>
              <w:rPr>
                <w:sz w:val="24"/>
                <w:szCs w:val="24"/>
              </w:rPr>
            </w:pPr>
            <w:r w:rsidRPr="00E628D7">
              <w:rPr>
                <w:sz w:val="24"/>
                <w:szCs w:val="24"/>
              </w:rPr>
              <w:t xml:space="preserve">ԿԱԳ - </w:t>
            </w:r>
            <w:r w:rsidRPr="00E628D7">
              <w:rPr>
                <w:b/>
                <w:sz w:val="24"/>
                <w:szCs w:val="24"/>
              </w:rPr>
              <w:t>չեզոք</w:t>
            </w:r>
          </w:p>
        </w:tc>
        <w:tc>
          <w:tcPr>
            <w:tcW w:w="3438" w:type="dxa"/>
          </w:tcPr>
          <w:p w:rsidR="00F928E6" w:rsidRPr="00E628D7" w:rsidRDefault="00F928E6" w:rsidP="00CA54E0">
            <w:pPr>
              <w:rPr>
                <w:sz w:val="24"/>
                <w:szCs w:val="24"/>
              </w:rPr>
            </w:pPr>
            <w:r w:rsidRPr="00E628D7">
              <w:rPr>
                <w:sz w:val="24"/>
                <w:szCs w:val="24"/>
              </w:rPr>
              <w:t>Ընդունվել է ի գիտություն:</w:t>
            </w:r>
          </w:p>
        </w:tc>
      </w:tr>
      <w:tr w:rsidR="00F928E6" w:rsidRPr="00E628D7" w:rsidTr="0024664B">
        <w:tc>
          <w:tcPr>
            <w:tcW w:w="648" w:type="dxa"/>
          </w:tcPr>
          <w:p w:rsidR="00F928E6" w:rsidRPr="00E628D7" w:rsidRDefault="00F928E6" w:rsidP="0024664B">
            <w:pPr>
              <w:jc w:val="center"/>
              <w:rPr>
                <w:sz w:val="24"/>
                <w:szCs w:val="24"/>
              </w:rPr>
            </w:pPr>
            <w:r w:rsidRPr="00E628D7">
              <w:rPr>
                <w:sz w:val="24"/>
                <w:szCs w:val="24"/>
              </w:rPr>
              <w:t xml:space="preserve">4. </w:t>
            </w:r>
          </w:p>
        </w:tc>
        <w:tc>
          <w:tcPr>
            <w:tcW w:w="3420" w:type="dxa"/>
          </w:tcPr>
          <w:p w:rsidR="00F928E6" w:rsidRPr="00E628D7" w:rsidRDefault="00F928E6" w:rsidP="0024664B">
            <w:pPr>
              <w:jc w:val="center"/>
              <w:rPr>
                <w:sz w:val="24"/>
                <w:szCs w:val="24"/>
              </w:rPr>
            </w:pPr>
            <w:r w:rsidRPr="00E628D7">
              <w:rPr>
                <w:sz w:val="24"/>
                <w:szCs w:val="24"/>
              </w:rPr>
              <w:t>ՀՀ առողջապահության նախարարություն</w:t>
            </w:r>
          </w:p>
        </w:tc>
        <w:tc>
          <w:tcPr>
            <w:tcW w:w="5670" w:type="dxa"/>
          </w:tcPr>
          <w:p w:rsidR="00F928E6" w:rsidRPr="00E628D7" w:rsidRDefault="00F928E6" w:rsidP="00CA54E0">
            <w:pPr>
              <w:rPr>
                <w:sz w:val="24"/>
                <w:szCs w:val="24"/>
              </w:rPr>
            </w:pPr>
            <w:r w:rsidRPr="00E628D7">
              <w:rPr>
                <w:sz w:val="24"/>
                <w:szCs w:val="24"/>
              </w:rPr>
              <w:t xml:space="preserve">ԿԱԳ- </w:t>
            </w:r>
            <w:r w:rsidRPr="00E628D7">
              <w:rPr>
                <w:b/>
                <w:sz w:val="24"/>
                <w:szCs w:val="24"/>
              </w:rPr>
              <w:t>չեզոք</w:t>
            </w:r>
          </w:p>
        </w:tc>
        <w:tc>
          <w:tcPr>
            <w:tcW w:w="3438" w:type="dxa"/>
          </w:tcPr>
          <w:p w:rsidR="00F928E6" w:rsidRPr="00E628D7" w:rsidRDefault="00F928E6" w:rsidP="00CA54E0">
            <w:pPr>
              <w:rPr>
                <w:sz w:val="24"/>
                <w:szCs w:val="24"/>
              </w:rPr>
            </w:pPr>
            <w:r w:rsidRPr="00E628D7">
              <w:rPr>
                <w:sz w:val="24"/>
                <w:szCs w:val="24"/>
              </w:rPr>
              <w:t>Ընդունվել է ի գիտություն:</w:t>
            </w:r>
          </w:p>
        </w:tc>
      </w:tr>
      <w:tr w:rsidR="00DB5B61" w:rsidRPr="00E628D7" w:rsidTr="0024664B">
        <w:tc>
          <w:tcPr>
            <w:tcW w:w="648" w:type="dxa"/>
          </w:tcPr>
          <w:p w:rsidR="00DB5B61" w:rsidRPr="00E628D7" w:rsidRDefault="00DB5B61" w:rsidP="0024664B">
            <w:pPr>
              <w:jc w:val="center"/>
              <w:rPr>
                <w:sz w:val="24"/>
                <w:szCs w:val="24"/>
              </w:rPr>
            </w:pPr>
            <w:r w:rsidRPr="00E628D7">
              <w:rPr>
                <w:sz w:val="24"/>
                <w:szCs w:val="24"/>
              </w:rPr>
              <w:t>5.</w:t>
            </w:r>
          </w:p>
        </w:tc>
        <w:tc>
          <w:tcPr>
            <w:tcW w:w="3420" w:type="dxa"/>
          </w:tcPr>
          <w:p w:rsidR="00DB5B61" w:rsidRPr="00E628D7" w:rsidRDefault="0033587E" w:rsidP="0024664B">
            <w:pPr>
              <w:jc w:val="center"/>
              <w:rPr>
                <w:sz w:val="24"/>
                <w:szCs w:val="24"/>
              </w:rPr>
            </w:pPr>
            <w:r w:rsidRPr="00E628D7">
              <w:rPr>
                <w:sz w:val="24"/>
                <w:szCs w:val="24"/>
              </w:rPr>
              <w:t>ՀՀ արդարադատության նախարարություն</w:t>
            </w:r>
          </w:p>
        </w:tc>
        <w:tc>
          <w:tcPr>
            <w:tcW w:w="5670" w:type="dxa"/>
          </w:tcPr>
          <w:p w:rsidR="0033587E" w:rsidRPr="00E628D7" w:rsidRDefault="0033587E" w:rsidP="00995A02">
            <w:pPr>
              <w:pStyle w:val="ListParagraph"/>
              <w:numPr>
                <w:ilvl w:val="0"/>
                <w:numId w:val="2"/>
              </w:numPr>
              <w:spacing w:line="360" w:lineRule="auto"/>
              <w:jc w:val="both"/>
              <w:rPr>
                <w:rFonts w:ascii="GHEA Grapalat" w:hAnsi="GHEA Grapalat"/>
                <w:color w:val="FF0000"/>
                <w:lang w:val="af-ZA"/>
              </w:rPr>
            </w:pPr>
            <w:r w:rsidRPr="00E628D7">
              <w:rPr>
                <w:rFonts w:ascii="GHEA Grapalat" w:hAnsi="GHEA Grapalat" w:cs="Sylfaen"/>
                <w:color w:val="000000"/>
                <w:lang w:val="hy-AM"/>
              </w:rPr>
              <w:t>««</w:t>
            </w:r>
            <w:r w:rsidRPr="00E628D7">
              <w:rPr>
                <w:rFonts w:ascii="GHEA Grapalat" w:hAnsi="GHEA Grapalat" w:cs="Sylfaen"/>
                <w:color w:val="000000"/>
              </w:rPr>
              <w:t>Ապահովագրության</w:t>
            </w:r>
            <w:r w:rsidRPr="00E628D7">
              <w:rPr>
                <w:rFonts w:ascii="GHEA Grapalat" w:hAnsi="GHEA Grapalat" w:cs="Sylfaen"/>
                <w:color w:val="000000"/>
                <w:lang w:val="af-ZA"/>
              </w:rPr>
              <w:t xml:space="preserve"> </w:t>
            </w:r>
            <w:r w:rsidRPr="00E628D7">
              <w:rPr>
                <w:rFonts w:ascii="GHEA Grapalat" w:hAnsi="GHEA Grapalat" w:cs="Sylfaen"/>
                <w:color w:val="000000"/>
              </w:rPr>
              <w:t>և</w:t>
            </w:r>
            <w:r w:rsidRPr="00E628D7">
              <w:rPr>
                <w:rFonts w:ascii="GHEA Grapalat" w:hAnsi="GHEA Grapalat" w:cs="Sylfaen"/>
                <w:color w:val="000000"/>
                <w:lang w:val="af-ZA"/>
              </w:rPr>
              <w:t xml:space="preserve"> </w:t>
            </w:r>
            <w:r w:rsidRPr="00E628D7">
              <w:rPr>
                <w:rFonts w:ascii="GHEA Grapalat" w:hAnsi="GHEA Grapalat" w:cs="Sylfaen"/>
                <w:color w:val="000000"/>
              </w:rPr>
              <w:t>ապահովագրական</w:t>
            </w:r>
            <w:r w:rsidRPr="00E628D7">
              <w:rPr>
                <w:rFonts w:ascii="GHEA Grapalat" w:hAnsi="GHEA Grapalat" w:cs="Sylfaen"/>
                <w:color w:val="000000"/>
                <w:lang w:val="af-ZA"/>
              </w:rPr>
              <w:t xml:space="preserve"> գործունեության մասին» Հայաստանի Հանրապետության </w:t>
            </w:r>
            <w:r w:rsidRPr="00E628D7">
              <w:rPr>
                <w:rFonts w:ascii="GHEA Grapalat" w:hAnsi="GHEA Grapalat" w:cs="Sylfaen"/>
                <w:color w:val="000000"/>
                <w:lang w:val="af-ZA"/>
              </w:rPr>
              <w:lastRenderedPageBreak/>
              <w:t>օրենքում լրացումներ և փոփոխություններ կատարելու մասին» Հայաստանի Հանրապետության օրենքի նախագծի (այսուհետ` Նախագիծ)</w:t>
            </w:r>
            <w:r w:rsidRPr="00E628D7">
              <w:rPr>
                <w:rFonts w:ascii="GHEA Grapalat" w:hAnsi="GHEA Grapalat"/>
                <w:lang w:val="af-ZA"/>
              </w:rPr>
              <w:t xml:space="preserve"> 1-</w:t>
            </w:r>
            <w:r w:rsidRPr="00E628D7">
              <w:rPr>
                <w:rFonts w:ascii="GHEA Grapalat" w:hAnsi="GHEA Grapalat" w:cs="Sylfaen"/>
                <w:lang w:val="af-ZA"/>
              </w:rPr>
              <w:t>ին</w:t>
            </w:r>
            <w:r w:rsidRPr="00E628D7">
              <w:rPr>
                <w:rFonts w:ascii="GHEA Grapalat" w:hAnsi="GHEA Grapalat"/>
                <w:lang w:val="af-ZA"/>
              </w:rPr>
              <w:t xml:space="preserve"> </w:t>
            </w:r>
            <w:r w:rsidRPr="00E628D7">
              <w:rPr>
                <w:rFonts w:ascii="GHEA Grapalat" w:hAnsi="GHEA Grapalat" w:cs="Sylfaen"/>
                <w:lang w:val="af-ZA"/>
              </w:rPr>
              <w:t>հոդվածի</w:t>
            </w:r>
            <w:r w:rsidRPr="00E628D7">
              <w:rPr>
                <w:rFonts w:ascii="GHEA Grapalat" w:hAnsi="GHEA Grapalat"/>
                <w:lang w:val="af-ZA"/>
              </w:rPr>
              <w:t xml:space="preserve"> 2-</w:t>
            </w:r>
            <w:r w:rsidRPr="00E628D7">
              <w:rPr>
                <w:rFonts w:ascii="GHEA Grapalat" w:hAnsi="GHEA Grapalat" w:cs="Sylfaen"/>
                <w:lang w:val="af-ZA"/>
              </w:rPr>
              <w:t>րդ</w:t>
            </w:r>
            <w:r w:rsidRPr="00E628D7">
              <w:rPr>
                <w:rFonts w:ascii="GHEA Grapalat" w:hAnsi="GHEA Grapalat"/>
                <w:lang w:val="af-ZA"/>
              </w:rPr>
              <w:t xml:space="preserve"> </w:t>
            </w:r>
            <w:r w:rsidRPr="00E628D7">
              <w:rPr>
                <w:rFonts w:ascii="GHEA Grapalat" w:hAnsi="GHEA Grapalat" w:cs="Sylfaen"/>
                <w:lang w:val="af-ZA"/>
              </w:rPr>
              <w:t>մասով</w:t>
            </w:r>
            <w:r w:rsidRPr="00E628D7">
              <w:rPr>
                <w:rFonts w:ascii="GHEA Grapalat" w:hAnsi="GHEA Grapalat"/>
                <w:lang w:val="af-ZA"/>
              </w:rPr>
              <w:t xml:space="preserve"> </w:t>
            </w:r>
            <w:r w:rsidRPr="00E628D7">
              <w:rPr>
                <w:rFonts w:ascii="GHEA Grapalat" w:hAnsi="GHEA Grapalat" w:cs="Sylfaen"/>
                <w:lang w:val="af-ZA"/>
              </w:rPr>
              <w:t>նախատեսվում</w:t>
            </w:r>
            <w:r w:rsidRPr="00E628D7">
              <w:rPr>
                <w:rFonts w:ascii="GHEA Grapalat" w:hAnsi="GHEA Grapalat"/>
                <w:lang w:val="af-ZA"/>
              </w:rPr>
              <w:t xml:space="preserve"> </w:t>
            </w:r>
            <w:r w:rsidRPr="00E628D7">
              <w:rPr>
                <w:rFonts w:ascii="GHEA Grapalat" w:hAnsi="GHEA Grapalat" w:cs="Sylfaen"/>
                <w:lang w:val="af-ZA"/>
              </w:rPr>
              <w:t>է</w:t>
            </w:r>
            <w:r w:rsidRPr="00E628D7">
              <w:rPr>
                <w:rFonts w:ascii="GHEA Grapalat" w:hAnsi="GHEA Grapalat"/>
                <w:lang w:val="af-ZA"/>
              </w:rPr>
              <w:t xml:space="preserve"> </w:t>
            </w:r>
            <w:r w:rsidRPr="00E628D7">
              <w:rPr>
                <w:rFonts w:ascii="GHEA Grapalat" w:hAnsi="GHEA Grapalat" w:cs="Sylfaen"/>
                <w:lang w:val="af-ZA"/>
              </w:rPr>
              <w:t>Օրենքով</w:t>
            </w:r>
            <w:r w:rsidRPr="00E628D7">
              <w:rPr>
                <w:rFonts w:ascii="GHEA Grapalat" w:hAnsi="GHEA Grapalat"/>
                <w:lang w:val="af-ZA"/>
              </w:rPr>
              <w:t xml:space="preserve"> </w:t>
            </w:r>
            <w:r w:rsidRPr="00E628D7">
              <w:rPr>
                <w:rFonts w:ascii="GHEA Grapalat" w:hAnsi="GHEA Grapalat" w:cs="Sylfaen"/>
                <w:lang w:val="af-ZA"/>
              </w:rPr>
              <w:t>սահմանել</w:t>
            </w:r>
            <w:r w:rsidRPr="00E628D7">
              <w:rPr>
                <w:rFonts w:ascii="GHEA Grapalat" w:hAnsi="GHEA Grapalat"/>
                <w:lang w:val="af-ZA"/>
              </w:rPr>
              <w:t xml:space="preserve"> </w:t>
            </w:r>
            <w:r w:rsidRPr="00E628D7">
              <w:rPr>
                <w:rFonts w:ascii="GHEA Grapalat" w:hAnsi="GHEA Grapalat" w:cs="Sylfaen"/>
                <w:lang w:val="af-ZA"/>
              </w:rPr>
              <w:t>համակարգային</w:t>
            </w:r>
            <w:r w:rsidRPr="00E628D7">
              <w:rPr>
                <w:rFonts w:ascii="GHEA Grapalat" w:hAnsi="GHEA Grapalat"/>
                <w:lang w:val="af-ZA"/>
              </w:rPr>
              <w:t xml:space="preserve"> </w:t>
            </w:r>
            <w:r w:rsidRPr="00E628D7">
              <w:rPr>
                <w:rFonts w:ascii="GHEA Grapalat" w:hAnsi="GHEA Grapalat" w:cs="Sylfaen"/>
                <w:lang w:val="af-ZA"/>
              </w:rPr>
              <w:t>նշանակություն</w:t>
            </w:r>
            <w:r w:rsidRPr="00E628D7">
              <w:rPr>
                <w:rFonts w:ascii="GHEA Grapalat" w:hAnsi="GHEA Grapalat"/>
                <w:lang w:val="af-ZA"/>
              </w:rPr>
              <w:t xml:space="preserve"> </w:t>
            </w:r>
            <w:r w:rsidRPr="00E628D7">
              <w:rPr>
                <w:rFonts w:ascii="GHEA Grapalat" w:hAnsi="GHEA Grapalat" w:cs="Sylfaen"/>
                <w:lang w:val="af-ZA"/>
              </w:rPr>
              <w:t>ունեցող</w:t>
            </w:r>
            <w:r w:rsidRPr="00E628D7">
              <w:rPr>
                <w:rFonts w:ascii="GHEA Grapalat" w:hAnsi="GHEA Grapalat"/>
                <w:lang w:val="af-ZA"/>
              </w:rPr>
              <w:t xml:space="preserve"> </w:t>
            </w:r>
            <w:r w:rsidRPr="00E628D7">
              <w:rPr>
                <w:rFonts w:ascii="GHEA Grapalat" w:hAnsi="GHEA Grapalat" w:cs="Sylfaen"/>
                <w:lang w:val="af-ZA"/>
              </w:rPr>
              <w:t>ապահովագրական</w:t>
            </w:r>
            <w:r w:rsidRPr="00E628D7">
              <w:rPr>
                <w:rFonts w:ascii="GHEA Grapalat" w:hAnsi="GHEA Grapalat"/>
                <w:lang w:val="af-ZA"/>
              </w:rPr>
              <w:t xml:space="preserve"> </w:t>
            </w:r>
            <w:r w:rsidRPr="00E628D7">
              <w:rPr>
                <w:rFonts w:ascii="GHEA Grapalat" w:hAnsi="GHEA Grapalat" w:cs="Sylfaen"/>
                <w:lang w:val="af-ZA"/>
              </w:rPr>
              <w:t>ընկերության</w:t>
            </w:r>
            <w:r w:rsidRPr="00E628D7">
              <w:rPr>
                <w:rFonts w:ascii="GHEA Grapalat" w:hAnsi="GHEA Grapalat"/>
                <w:lang w:val="af-ZA"/>
              </w:rPr>
              <w:t xml:space="preserve"> </w:t>
            </w:r>
            <w:r w:rsidRPr="00E628D7">
              <w:rPr>
                <w:rFonts w:ascii="GHEA Grapalat" w:hAnsi="GHEA Grapalat" w:cs="Sylfaen"/>
                <w:lang w:val="af-ZA"/>
              </w:rPr>
              <w:t>հասկացությունը</w:t>
            </w:r>
            <w:r w:rsidRPr="00E628D7">
              <w:rPr>
                <w:rFonts w:ascii="GHEA Grapalat" w:hAnsi="GHEA Grapalat"/>
                <w:lang w:val="af-ZA"/>
              </w:rPr>
              <w:t xml:space="preserve">` </w:t>
            </w:r>
            <w:r w:rsidRPr="00E628D7">
              <w:rPr>
                <w:rFonts w:ascii="GHEA Grapalat" w:hAnsi="GHEA Grapalat" w:cs="Sylfaen"/>
                <w:lang w:val="af-ZA"/>
              </w:rPr>
              <w:t>այն</w:t>
            </w:r>
            <w:r w:rsidRPr="00E628D7">
              <w:rPr>
                <w:rFonts w:ascii="GHEA Grapalat" w:hAnsi="GHEA Grapalat"/>
                <w:lang w:val="af-ZA"/>
              </w:rPr>
              <w:t xml:space="preserve"> </w:t>
            </w:r>
            <w:r w:rsidRPr="00E628D7">
              <w:rPr>
                <w:rFonts w:ascii="GHEA Grapalat" w:hAnsi="GHEA Grapalat" w:cs="Sylfaen"/>
                <w:lang w:val="af-ZA"/>
              </w:rPr>
              <w:t>բնորոշելով</w:t>
            </w:r>
            <w:r w:rsidRPr="00E628D7">
              <w:rPr>
                <w:rFonts w:ascii="GHEA Grapalat" w:hAnsi="GHEA Grapalat"/>
                <w:lang w:val="af-ZA"/>
              </w:rPr>
              <w:t xml:space="preserve"> </w:t>
            </w:r>
            <w:r w:rsidRPr="00E628D7">
              <w:rPr>
                <w:rFonts w:ascii="GHEA Grapalat" w:hAnsi="GHEA Grapalat" w:cs="Sylfaen"/>
                <w:lang w:val="af-ZA"/>
              </w:rPr>
              <w:t>որպես</w:t>
            </w:r>
            <w:r w:rsidRPr="00E628D7">
              <w:rPr>
                <w:rFonts w:ascii="GHEA Grapalat" w:hAnsi="GHEA Grapalat"/>
                <w:lang w:val="af-ZA"/>
              </w:rPr>
              <w:t xml:space="preserve"> </w:t>
            </w:r>
            <w:r w:rsidRPr="00E628D7">
              <w:rPr>
                <w:rFonts w:ascii="GHEA Grapalat" w:hAnsi="GHEA Grapalat" w:cs="Sylfaen"/>
                <w:lang w:val="af-ZA"/>
              </w:rPr>
              <w:t>ընկերություն</w:t>
            </w:r>
            <w:r w:rsidRPr="00E628D7">
              <w:rPr>
                <w:rFonts w:ascii="GHEA Grapalat" w:hAnsi="GHEA Grapalat"/>
                <w:lang w:val="af-ZA"/>
              </w:rPr>
              <w:t xml:space="preserve">, </w:t>
            </w:r>
            <w:r w:rsidRPr="00E628D7">
              <w:rPr>
                <w:rFonts w:ascii="GHEA Grapalat" w:hAnsi="GHEA Grapalat" w:cs="Sylfaen"/>
                <w:lang w:val="af-ZA"/>
              </w:rPr>
              <w:t>որի</w:t>
            </w:r>
            <w:r w:rsidRPr="00E628D7">
              <w:rPr>
                <w:rFonts w:ascii="GHEA Grapalat" w:hAnsi="GHEA Grapalat"/>
                <w:lang w:val="af-ZA"/>
              </w:rPr>
              <w:t xml:space="preserve"> </w:t>
            </w:r>
            <w:r w:rsidRPr="00E628D7">
              <w:rPr>
                <w:rFonts w:ascii="GHEA Grapalat" w:hAnsi="GHEA Grapalat" w:cs="Sylfaen"/>
                <w:lang w:val="af-ZA"/>
              </w:rPr>
              <w:t>ֆինանսական</w:t>
            </w:r>
            <w:r w:rsidRPr="00E628D7">
              <w:rPr>
                <w:rFonts w:ascii="GHEA Grapalat" w:hAnsi="GHEA Grapalat"/>
                <w:lang w:val="af-ZA"/>
              </w:rPr>
              <w:t xml:space="preserve"> </w:t>
            </w:r>
            <w:r w:rsidRPr="00E628D7">
              <w:rPr>
                <w:rFonts w:ascii="GHEA Grapalat" w:hAnsi="GHEA Grapalat" w:cs="Sylfaen"/>
                <w:lang w:val="af-ZA"/>
              </w:rPr>
              <w:t>վիճակի</w:t>
            </w:r>
            <w:r w:rsidRPr="00E628D7">
              <w:rPr>
                <w:rFonts w:ascii="GHEA Grapalat" w:hAnsi="GHEA Grapalat"/>
                <w:lang w:val="af-ZA"/>
              </w:rPr>
              <w:t xml:space="preserve"> </w:t>
            </w:r>
            <w:r w:rsidRPr="00E628D7">
              <w:rPr>
                <w:rFonts w:ascii="GHEA Grapalat" w:hAnsi="GHEA Grapalat" w:cs="Sylfaen"/>
                <w:lang w:val="af-ZA"/>
              </w:rPr>
              <w:t>վատթարացումը</w:t>
            </w:r>
            <w:r w:rsidRPr="00E628D7">
              <w:rPr>
                <w:rFonts w:ascii="GHEA Grapalat" w:hAnsi="GHEA Grapalat"/>
                <w:lang w:val="af-ZA"/>
              </w:rPr>
              <w:t xml:space="preserve"> </w:t>
            </w:r>
            <w:r w:rsidRPr="00E628D7">
              <w:rPr>
                <w:rFonts w:ascii="GHEA Grapalat" w:hAnsi="GHEA Grapalat" w:cs="Sylfaen"/>
                <w:lang w:val="af-ZA"/>
              </w:rPr>
              <w:t>կամ</w:t>
            </w:r>
            <w:r w:rsidRPr="00E628D7">
              <w:rPr>
                <w:rFonts w:ascii="GHEA Grapalat" w:hAnsi="GHEA Grapalat"/>
                <w:lang w:val="af-ZA"/>
              </w:rPr>
              <w:t xml:space="preserve"> </w:t>
            </w:r>
            <w:r w:rsidRPr="00E628D7">
              <w:rPr>
                <w:rFonts w:ascii="GHEA Grapalat" w:hAnsi="GHEA Grapalat" w:cs="Sylfaen"/>
                <w:lang w:val="af-ZA"/>
              </w:rPr>
              <w:t>անվճարունակությունը</w:t>
            </w:r>
            <w:r w:rsidRPr="00E628D7">
              <w:rPr>
                <w:rFonts w:ascii="GHEA Grapalat" w:hAnsi="GHEA Grapalat"/>
                <w:lang w:val="af-ZA"/>
              </w:rPr>
              <w:t xml:space="preserve"> </w:t>
            </w:r>
            <w:r w:rsidRPr="00E628D7">
              <w:rPr>
                <w:rFonts w:ascii="GHEA Grapalat" w:hAnsi="GHEA Grapalat" w:cs="Sylfaen"/>
                <w:lang w:val="af-ZA"/>
              </w:rPr>
              <w:t>կամ</w:t>
            </w:r>
            <w:r w:rsidRPr="00E628D7">
              <w:rPr>
                <w:rFonts w:ascii="GHEA Grapalat" w:hAnsi="GHEA Grapalat"/>
                <w:lang w:val="af-ZA"/>
              </w:rPr>
              <w:t xml:space="preserve"> </w:t>
            </w:r>
            <w:r w:rsidRPr="00E628D7">
              <w:rPr>
                <w:rFonts w:ascii="GHEA Grapalat" w:hAnsi="GHEA Grapalat" w:cs="Sylfaen"/>
                <w:lang w:val="af-ZA"/>
              </w:rPr>
              <w:t>սնանկացումը</w:t>
            </w:r>
            <w:r w:rsidRPr="00E628D7">
              <w:rPr>
                <w:rFonts w:ascii="GHEA Grapalat" w:hAnsi="GHEA Grapalat"/>
                <w:lang w:val="af-ZA"/>
              </w:rPr>
              <w:t xml:space="preserve"> </w:t>
            </w:r>
            <w:r w:rsidRPr="00E628D7">
              <w:rPr>
                <w:rFonts w:ascii="GHEA Grapalat" w:hAnsi="GHEA Grapalat" w:cs="Sylfaen"/>
                <w:lang w:val="af-ZA"/>
              </w:rPr>
              <w:t>կամ</w:t>
            </w:r>
            <w:r w:rsidRPr="00E628D7">
              <w:rPr>
                <w:rFonts w:ascii="GHEA Grapalat" w:hAnsi="GHEA Grapalat"/>
                <w:lang w:val="af-ZA"/>
              </w:rPr>
              <w:t xml:space="preserve"> </w:t>
            </w:r>
            <w:r w:rsidRPr="00E628D7">
              <w:rPr>
                <w:rFonts w:ascii="GHEA Grapalat" w:hAnsi="GHEA Grapalat" w:cs="Sylfaen"/>
                <w:lang w:val="af-ZA"/>
              </w:rPr>
              <w:t>լուծարումը</w:t>
            </w:r>
            <w:r w:rsidRPr="00E628D7">
              <w:rPr>
                <w:rFonts w:ascii="GHEA Grapalat" w:hAnsi="GHEA Grapalat"/>
                <w:lang w:val="af-ZA"/>
              </w:rPr>
              <w:t xml:space="preserve"> </w:t>
            </w:r>
            <w:r w:rsidRPr="00E628D7">
              <w:rPr>
                <w:rFonts w:ascii="GHEA Grapalat" w:hAnsi="GHEA Grapalat" w:cs="Sylfaen"/>
                <w:lang w:val="af-ZA"/>
              </w:rPr>
              <w:t>կարող</w:t>
            </w:r>
            <w:r w:rsidRPr="00E628D7">
              <w:rPr>
                <w:rFonts w:ascii="GHEA Grapalat" w:hAnsi="GHEA Grapalat"/>
                <w:lang w:val="af-ZA"/>
              </w:rPr>
              <w:t xml:space="preserve"> </w:t>
            </w:r>
            <w:r w:rsidRPr="00E628D7">
              <w:rPr>
                <w:rFonts w:ascii="GHEA Grapalat" w:hAnsi="GHEA Grapalat" w:cs="Sylfaen"/>
                <w:lang w:val="af-ZA"/>
              </w:rPr>
              <w:t>է</w:t>
            </w:r>
            <w:r w:rsidRPr="00E628D7">
              <w:rPr>
                <w:rFonts w:ascii="GHEA Grapalat" w:hAnsi="GHEA Grapalat"/>
                <w:lang w:val="af-ZA"/>
              </w:rPr>
              <w:t xml:space="preserve"> </w:t>
            </w:r>
            <w:r w:rsidRPr="00E628D7">
              <w:rPr>
                <w:rFonts w:ascii="GHEA Grapalat" w:hAnsi="GHEA Grapalat" w:cs="Sylfaen"/>
                <w:i/>
                <w:lang w:val="af-ZA"/>
              </w:rPr>
              <w:t>էական</w:t>
            </w:r>
            <w:r w:rsidRPr="00E628D7">
              <w:rPr>
                <w:rFonts w:ascii="GHEA Grapalat" w:hAnsi="GHEA Grapalat"/>
                <w:i/>
                <w:lang w:val="af-ZA"/>
              </w:rPr>
              <w:t xml:space="preserve"> </w:t>
            </w:r>
            <w:r w:rsidRPr="00E628D7">
              <w:rPr>
                <w:rFonts w:ascii="GHEA Grapalat" w:hAnsi="GHEA Grapalat" w:cs="Sylfaen"/>
                <w:i/>
                <w:lang w:val="af-ZA"/>
              </w:rPr>
              <w:t>բացասական</w:t>
            </w:r>
            <w:r w:rsidRPr="00E628D7">
              <w:rPr>
                <w:rFonts w:ascii="GHEA Grapalat" w:hAnsi="GHEA Grapalat"/>
                <w:i/>
                <w:lang w:val="af-ZA"/>
              </w:rPr>
              <w:t xml:space="preserve"> </w:t>
            </w:r>
            <w:r w:rsidRPr="00E628D7">
              <w:rPr>
                <w:rFonts w:ascii="GHEA Grapalat" w:hAnsi="GHEA Grapalat" w:cs="Sylfaen"/>
                <w:i/>
                <w:lang w:val="af-ZA"/>
              </w:rPr>
              <w:t>ազդեցություն</w:t>
            </w:r>
            <w:r w:rsidRPr="00E628D7">
              <w:rPr>
                <w:rFonts w:ascii="GHEA Grapalat" w:hAnsi="GHEA Grapalat"/>
                <w:lang w:val="af-ZA"/>
              </w:rPr>
              <w:t xml:space="preserve"> </w:t>
            </w:r>
            <w:r w:rsidRPr="00E628D7">
              <w:rPr>
                <w:rFonts w:ascii="GHEA Grapalat" w:hAnsi="GHEA Grapalat" w:cs="Sylfaen"/>
                <w:lang w:val="af-ZA"/>
              </w:rPr>
              <w:t>ունենալ</w:t>
            </w:r>
            <w:r w:rsidRPr="00E628D7">
              <w:rPr>
                <w:rFonts w:ascii="GHEA Grapalat" w:hAnsi="GHEA Grapalat"/>
                <w:lang w:val="af-ZA"/>
              </w:rPr>
              <w:t xml:space="preserve"> </w:t>
            </w:r>
            <w:r w:rsidRPr="00E628D7">
              <w:rPr>
                <w:rFonts w:ascii="GHEA Grapalat" w:hAnsi="GHEA Grapalat" w:cs="Sylfaen"/>
                <w:lang w:val="af-ZA"/>
              </w:rPr>
              <w:t>Հայաստանի</w:t>
            </w:r>
            <w:r w:rsidRPr="00E628D7">
              <w:rPr>
                <w:rFonts w:ascii="GHEA Grapalat" w:hAnsi="GHEA Grapalat"/>
                <w:lang w:val="af-ZA"/>
              </w:rPr>
              <w:t xml:space="preserve"> </w:t>
            </w:r>
            <w:r w:rsidRPr="00E628D7">
              <w:rPr>
                <w:rFonts w:ascii="GHEA Grapalat" w:hAnsi="GHEA Grapalat" w:cs="Sylfaen"/>
                <w:lang w:val="af-ZA"/>
              </w:rPr>
              <w:t>Հանրապետության</w:t>
            </w:r>
            <w:r w:rsidRPr="00E628D7">
              <w:rPr>
                <w:rFonts w:ascii="GHEA Grapalat" w:hAnsi="GHEA Grapalat"/>
                <w:lang w:val="af-ZA"/>
              </w:rPr>
              <w:t xml:space="preserve"> </w:t>
            </w:r>
            <w:r w:rsidRPr="00E628D7">
              <w:rPr>
                <w:rFonts w:ascii="GHEA Grapalat" w:hAnsi="GHEA Grapalat" w:cs="Sylfaen"/>
                <w:lang w:val="af-ZA"/>
              </w:rPr>
              <w:t>ֆինանսական</w:t>
            </w:r>
            <w:r w:rsidRPr="00E628D7">
              <w:rPr>
                <w:rFonts w:ascii="GHEA Grapalat" w:hAnsi="GHEA Grapalat"/>
                <w:lang w:val="af-ZA"/>
              </w:rPr>
              <w:t xml:space="preserve"> </w:t>
            </w:r>
            <w:r w:rsidRPr="00E628D7">
              <w:rPr>
                <w:rFonts w:ascii="GHEA Grapalat" w:hAnsi="GHEA Grapalat" w:cs="Sylfaen"/>
                <w:lang w:val="af-ZA"/>
              </w:rPr>
              <w:t>համակարգի</w:t>
            </w:r>
            <w:r w:rsidRPr="00E628D7">
              <w:rPr>
                <w:rFonts w:ascii="GHEA Grapalat" w:hAnsi="GHEA Grapalat"/>
                <w:lang w:val="af-ZA"/>
              </w:rPr>
              <w:t xml:space="preserve"> </w:t>
            </w:r>
            <w:r w:rsidRPr="00E628D7">
              <w:rPr>
                <w:rFonts w:ascii="GHEA Grapalat" w:hAnsi="GHEA Grapalat" w:cs="Sylfaen"/>
                <w:lang w:val="af-ZA"/>
              </w:rPr>
              <w:t>և</w:t>
            </w:r>
            <w:r w:rsidRPr="00E628D7">
              <w:rPr>
                <w:rFonts w:ascii="GHEA Grapalat" w:hAnsi="GHEA Grapalat"/>
                <w:lang w:val="af-ZA"/>
              </w:rPr>
              <w:t xml:space="preserve"> (</w:t>
            </w:r>
            <w:r w:rsidRPr="00E628D7">
              <w:rPr>
                <w:rFonts w:ascii="GHEA Grapalat" w:hAnsi="GHEA Grapalat" w:cs="Sylfaen"/>
                <w:lang w:val="af-ZA"/>
              </w:rPr>
              <w:t>կամ</w:t>
            </w:r>
            <w:r w:rsidRPr="00E628D7">
              <w:rPr>
                <w:rFonts w:ascii="GHEA Grapalat" w:hAnsi="GHEA Grapalat"/>
                <w:lang w:val="af-ZA"/>
              </w:rPr>
              <w:t xml:space="preserve">) </w:t>
            </w:r>
            <w:r w:rsidRPr="00E628D7">
              <w:rPr>
                <w:rFonts w:ascii="GHEA Grapalat" w:hAnsi="GHEA Grapalat" w:cs="Sylfaen"/>
                <w:lang w:val="af-ZA"/>
              </w:rPr>
              <w:t>տնտեսության</w:t>
            </w:r>
            <w:r w:rsidRPr="00E628D7">
              <w:rPr>
                <w:rFonts w:ascii="GHEA Grapalat" w:hAnsi="GHEA Grapalat"/>
                <w:lang w:val="af-ZA"/>
              </w:rPr>
              <w:t xml:space="preserve"> </w:t>
            </w:r>
            <w:r w:rsidRPr="00E628D7">
              <w:rPr>
                <w:rFonts w:ascii="GHEA Grapalat" w:hAnsi="GHEA Grapalat" w:cs="Sylfaen"/>
                <w:lang w:val="af-ZA"/>
              </w:rPr>
              <w:t>այլ</w:t>
            </w:r>
            <w:r w:rsidRPr="00E628D7">
              <w:rPr>
                <w:rFonts w:ascii="GHEA Grapalat" w:hAnsi="GHEA Grapalat"/>
                <w:lang w:val="af-ZA"/>
              </w:rPr>
              <w:t xml:space="preserve"> </w:t>
            </w:r>
            <w:r w:rsidRPr="00E628D7">
              <w:rPr>
                <w:rFonts w:ascii="GHEA Grapalat" w:hAnsi="GHEA Grapalat" w:cs="Sylfaen"/>
                <w:lang w:val="af-ZA"/>
              </w:rPr>
              <w:t>հատվածների</w:t>
            </w:r>
            <w:r w:rsidRPr="00E628D7">
              <w:rPr>
                <w:rFonts w:ascii="GHEA Grapalat" w:hAnsi="GHEA Grapalat"/>
                <w:lang w:val="af-ZA"/>
              </w:rPr>
              <w:t xml:space="preserve"> </w:t>
            </w:r>
            <w:r w:rsidRPr="00E628D7">
              <w:rPr>
                <w:rFonts w:ascii="GHEA Grapalat" w:hAnsi="GHEA Grapalat" w:cs="Sylfaen"/>
                <w:lang w:val="af-ZA"/>
              </w:rPr>
              <w:t>վրա</w:t>
            </w:r>
            <w:r w:rsidRPr="00E628D7">
              <w:rPr>
                <w:rFonts w:ascii="GHEA Grapalat" w:hAnsi="GHEA Grapalat"/>
                <w:lang w:val="af-ZA"/>
              </w:rPr>
              <w:t xml:space="preserve">: </w:t>
            </w:r>
          </w:p>
          <w:p w:rsidR="00DB5B61" w:rsidRPr="00E628D7" w:rsidRDefault="0033587E" w:rsidP="0033587E">
            <w:pPr>
              <w:spacing w:line="360" w:lineRule="auto"/>
              <w:ind w:firstLine="708"/>
              <w:jc w:val="both"/>
              <w:rPr>
                <w:lang w:val="af-ZA"/>
              </w:rPr>
            </w:pPr>
            <w:r w:rsidRPr="00E628D7">
              <w:rPr>
                <w:lang w:val="af-ZA"/>
              </w:rPr>
              <w:t>Այս կապակցությամբ գտնում ենք, որ նշված հոդվածում</w:t>
            </w:r>
            <w:r w:rsidRPr="00E628D7">
              <w:rPr>
                <w:b/>
                <w:lang w:val="af-ZA"/>
              </w:rPr>
              <w:t xml:space="preserve"> </w:t>
            </w:r>
            <w:r w:rsidRPr="00E628D7">
              <w:rPr>
                <w:lang w:val="af-ZA"/>
              </w:rPr>
              <w:t xml:space="preserve">օգտագործվող «էական» եզրույթը, լինելով գնահատողական բնույթի հասկացություն, անորոշություն է առաջացնում և ունի հստակեցման կարիք: Հատկապես հաշվի առնելով այն </w:t>
            </w:r>
            <w:r w:rsidRPr="00E628D7">
              <w:rPr>
                <w:lang w:val="af-ZA"/>
              </w:rPr>
              <w:lastRenderedPageBreak/>
              <w:t>հանգամանքը, որ Նախագծով նախատեսվում է համակարգային նշանակություն ունեցող ընկերությունների համար սահմանել այլ ընկերությունների համեմատությամբ առավել խիստ սահմանափակումներ, գտնում ենք, որ անհրաժեշտ է հստակեցնել այն չափանիշները, որոնցից ելնելով կարող է գնահատվել Հայաստանի Հանրապետության ֆինանսական համակարգի և (կամ) տնտեսության այլ հատվածների վրա այդ ընկերությունների ֆինանսական վիճակի վատթարացման, անվճարունակության, սնանկացման կամ լուծարման ազդեցությունը:</w:t>
            </w:r>
          </w:p>
        </w:tc>
        <w:tc>
          <w:tcPr>
            <w:tcW w:w="3438" w:type="dxa"/>
          </w:tcPr>
          <w:p w:rsidR="00DB5B61" w:rsidRPr="00E628D7" w:rsidRDefault="0033587E" w:rsidP="0033587E">
            <w:pPr>
              <w:rPr>
                <w:sz w:val="24"/>
                <w:szCs w:val="24"/>
              </w:rPr>
            </w:pPr>
            <w:r w:rsidRPr="00E628D7">
              <w:rPr>
                <w:sz w:val="24"/>
                <w:szCs w:val="24"/>
              </w:rPr>
              <w:lastRenderedPageBreak/>
              <w:t xml:space="preserve">Ընդունելի է: Նախագծի 1-ին հոդվածով սահմանվել է, որ </w:t>
            </w:r>
            <w:r w:rsidRPr="00E628D7">
              <w:rPr>
                <w:rFonts w:eastAsia="Times New Roman" w:cs="Times New Roman"/>
                <w:sz w:val="24"/>
                <w:szCs w:val="24"/>
              </w:rPr>
              <w:t xml:space="preserve">Հայաստանի Հանրապետության </w:t>
            </w:r>
            <w:r w:rsidRPr="00E628D7">
              <w:rPr>
                <w:rFonts w:eastAsia="Times New Roman" w:cs="Times New Roman"/>
                <w:sz w:val="24"/>
                <w:szCs w:val="24"/>
              </w:rPr>
              <w:lastRenderedPageBreak/>
              <w:t xml:space="preserve">ֆինանսական համակարգի վրա ունեցած Էական բացասական ազդեցությունը գնահատվում է՝ հիմք ընդունելով տվյալ </w:t>
            </w:r>
            <w:r w:rsidRPr="00E628D7">
              <w:rPr>
                <w:rFonts w:eastAsia="Times New Roman" w:cs="Times New Roman"/>
                <w:sz w:val="24"/>
                <w:szCs w:val="24"/>
                <w:lang w:val="hy-AM"/>
              </w:rPr>
              <w:t>Ընկերության</w:t>
            </w:r>
            <w:r w:rsidRPr="00E628D7">
              <w:rPr>
                <w:rFonts w:eastAsia="Times New Roman" w:cs="Times New Roman"/>
                <w:sz w:val="24"/>
                <w:szCs w:val="24"/>
              </w:rPr>
              <w:t xml:space="preserve"> մեծությունը, Հայաստանի Հանրապետության ֆինանսական համակարգի այլ մասնակիցների հետ փոխկապակցվածությունը, </w:t>
            </w:r>
            <w:r w:rsidRPr="00E628D7">
              <w:rPr>
                <w:rFonts w:eastAsia="Times New Roman" w:cs="Times New Roman"/>
                <w:sz w:val="24"/>
                <w:szCs w:val="24"/>
                <w:lang w:val="hy-AM"/>
              </w:rPr>
              <w:t>Ընկերության</w:t>
            </w:r>
            <w:r w:rsidRPr="00E628D7">
              <w:rPr>
                <w:rFonts w:eastAsia="Times New Roman" w:cs="Times New Roman"/>
                <w:sz w:val="24"/>
                <w:szCs w:val="24"/>
              </w:rPr>
              <w:t xml:space="preserve"> կողմից մատուցվող ծառայությունների փոխարինելիությունը, </w:t>
            </w:r>
            <w:r w:rsidRPr="00E628D7">
              <w:rPr>
                <w:rFonts w:eastAsia="Times New Roman" w:cs="Times New Roman"/>
                <w:sz w:val="24"/>
                <w:szCs w:val="24"/>
                <w:lang w:val="hy-AM"/>
              </w:rPr>
              <w:t>Ընկերության</w:t>
            </w:r>
            <w:r w:rsidRPr="00E628D7">
              <w:rPr>
                <w:rFonts w:eastAsia="Times New Roman" w:cs="Times New Roman"/>
                <w:sz w:val="24"/>
                <w:szCs w:val="24"/>
              </w:rPr>
              <w:t xml:space="preserve"> կողմից իրականացվող գործառնությունների </w:t>
            </w:r>
            <w:r w:rsidR="00341C7A" w:rsidRPr="00E628D7">
              <w:rPr>
                <w:rFonts w:eastAsia="Times New Roman" w:cs="Times New Roman"/>
                <w:sz w:val="24"/>
                <w:szCs w:val="24"/>
              </w:rPr>
              <w:t xml:space="preserve">բնույթը, </w:t>
            </w:r>
            <w:r w:rsidRPr="00E628D7">
              <w:rPr>
                <w:rFonts w:eastAsia="Times New Roman" w:cs="Times New Roman"/>
                <w:sz w:val="24"/>
                <w:szCs w:val="24"/>
              </w:rPr>
              <w:t>բարդությունը</w:t>
            </w:r>
            <w:r w:rsidR="00341C7A" w:rsidRPr="00E628D7">
              <w:rPr>
                <w:rFonts w:eastAsia="Times New Roman" w:cs="Times New Roman"/>
                <w:sz w:val="24"/>
                <w:szCs w:val="24"/>
              </w:rPr>
              <w:t xml:space="preserve">, </w:t>
            </w:r>
            <w:r w:rsidRPr="00E628D7">
              <w:rPr>
                <w:rFonts w:eastAsia="Times New Roman" w:cs="Times New Roman"/>
                <w:sz w:val="24"/>
                <w:szCs w:val="24"/>
              </w:rPr>
              <w:t xml:space="preserve"> ռիսկայնությունը: </w:t>
            </w:r>
          </w:p>
        </w:tc>
      </w:tr>
      <w:tr w:rsidR="0033587E" w:rsidRPr="00E628D7" w:rsidTr="0024664B">
        <w:tc>
          <w:tcPr>
            <w:tcW w:w="648" w:type="dxa"/>
          </w:tcPr>
          <w:p w:rsidR="0033587E" w:rsidRPr="00E628D7" w:rsidRDefault="0033587E" w:rsidP="0024664B">
            <w:pPr>
              <w:jc w:val="center"/>
              <w:rPr>
                <w:sz w:val="24"/>
                <w:szCs w:val="24"/>
              </w:rPr>
            </w:pPr>
          </w:p>
        </w:tc>
        <w:tc>
          <w:tcPr>
            <w:tcW w:w="3420" w:type="dxa"/>
          </w:tcPr>
          <w:p w:rsidR="0033587E" w:rsidRPr="00E628D7" w:rsidRDefault="0033587E" w:rsidP="0024664B">
            <w:pPr>
              <w:jc w:val="center"/>
              <w:rPr>
                <w:sz w:val="24"/>
                <w:szCs w:val="24"/>
              </w:rPr>
            </w:pPr>
          </w:p>
        </w:tc>
        <w:tc>
          <w:tcPr>
            <w:tcW w:w="5670" w:type="dxa"/>
          </w:tcPr>
          <w:p w:rsidR="0033587E" w:rsidRPr="00E628D7" w:rsidRDefault="0033587E" w:rsidP="00995A02">
            <w:pPr>
              <w:pStyle w:val="ListParagraph"/>
              <w:numPr>
                <w:ilvl w:val="0"/>
                <w:numId w:val="2"/>
              </w:numPr>
              <w:spacing w:line="360" w:lineRule="auto"/>
              <w:jc w:val="both"/>
              <w:rPr>
                <w:rFonts w:ascii="GHEA Grapalat" w:hAnsi="GHEA Grapalat" w:cs="Sylfaen"/>
                <w:bCs/>
                <w:lang w:val="af-ZA"/>
              </w:rPr>
            </w:pPr>
            <w:r w:rsidRPr="00E628D7">
              <w:rPr>
                <w:rFonts w:ascii="GHEA Grapalat" w:hAnsi="GHEA Grapalat" w:cs="Sylfaen"/>
                <w:bCs/>
                <w:lang w:val="af-ZA"/>
              </w:rPr>
              <w:t xml:space="preserve">Նախագծի 2-րդ հոդվածով առաջարկվում է Օրենքի 13-րդ հոդվածի 4-րդ մասը շարադրել նոր խմբագրությամբ, համաձայն որի` միևնույն ընտանիքի անդամ կարող են համարվել ամուսինը, ինչպես նաև </w:t>
            </w:r>
            <w:r w:rsidRPr="00E628D7">
              <w:rPr>
                <w:rFonts w:ascii="GHEA Grapalat" w:hAnsi="GHEA Grapalat" w:cs="Sylfaen"/>
                <w:bCs/>
                <w:i/>
                <w:lang w:val="af-ZA"/>
              </w:rPr>
              <w:t>միևնույն հարկի տակ բնակվող</w:t>
            </w:r>
            <w:r w:rsidRPr="00E628D7">
              <w:rPr>
                <w:rFonts w:ascii="GHEA Grapalat" w:hAnsi="GHEA Grapalat" w:cs="Sylfaen"/>
                <w:bCs/>
                <w:lang w:val="af-ZA"/>
              </w:rPr>
              <w:t xml:space="preserve"> կամ </w:t>
            </w:r>
            <w:r w:rsidRPr="00E628D7">
              <w:rPr>
                <w:rFonts w:ascii="GHEA Grapalat" w:hAnsi="GHEA Grapalat" w:cs="Sylfaen"/>
                <w:bCs/>
                <w:i/>
                <w:lang w:val="af-ZA"/>
              </w:rPr>
              <w:t>միևնույն տնտեսությունը վարող</w:t>
            </w:r>
            <w:r w:rsidRPr="00E628D7">
              <w:rPr>
                <w:rFonts w:ascii="GHEA Grapalat" w:hAnsi="GHEA Grapalat" w:cs="Sylfaen"/>
                <w:bCs/>
                <w:lang w:val="af-ZA"/>
              </w:rPr>
              <w:t xml:space="preserve"> ծնողները, 18 տարին լրացած զավակն ու նրա ամուսինը, 18 տարին </w:t>
            </w:r>
            <w:r w:rsidRPr="00E628D7">
              <w:rPr>
                <w:rFonts w:ascii="GHEA Grapalat" w:hAnsi="GHEA Grapalat" w:cs="Sylfaen"/>
                <w:bCs/>
                <w:lang w:val="af-ZA"/>
              </w:rPr>
              <w:lastRenderedPageBreak/>
              <w:t>լրացած ամուսնու զավակը, տատը, պապը, 18 տարին լրացած թոռը, ամուսնու ծնողները, 18 տարին լրացած քույրը և եղբայրը, նրանց ամուսիններն ու 18 տարին լրացած զավակները:</w:t>
            </w:r>
          </w:p>
          <w:p w:rsidR="0033587E" w:rsidRPr="00E628D7" w:rsidRDefault="0033587E" w:rsidP="0033587E">
            <w:pPr>
              <w:spacing w:line="360" w:lineRule="auto"/>
              <w:ind w:firstLine="708"/>
              <w:jc w:val="both"/>
              <w:rPr>
                <w:rFonts w:cs="Sylfaen"/>
                <w:bCs/>
                <w:lang w:val="af-ZA"/>
              </w:rPr>
            </w:pPr>
            <w:r w:rsidRPr="00E628D7">
              <w:rPr>
                <w:rFonts w:cs="Sylfaen"/>
                <w:bCs/>
                <w:lang w:val="af-ZA"/>
              </w:rPr>
              <w:t>Հարկ է նշել, որ գործող խմբագրությամբ Օրենքի 13-րդ հոդվածի 4-րդ մասում թվարկված սուբյեկտները դիտարկվում են միևնույն ընտանիքի անդամներ վերջիններիս միջև առկա ազգակցական կապերի ուժով` անկախ միևնույն հարկի տակ բնակվելու կամ միևնույն տնտեսությունը վարելու հանգամանքներից:</w:t>
            </w:r>
          </w:p>
          <w:p w:rsidR="0033587E" w:rsidRPr="00E628D7" w:rsidRDefault="0033587E" w:rsidP="0033587E">
            <w:pPr>
              <w:spacing w:line="360" w:lineRule="auto"/>
              <w:ind w:firstLine="708"/>
              <w:jc w:val="both"/>
              <w:rPr>
                <w:color w:val="000000"/>
                <w:lang w:val="af-ZA"/>
              </w:rPr>
            </w:pPr>
            <w:r w:rsidRPr="00E628D7">
              <w:rPr>
                <w:rFonts w:cs="Sylfaen"/>
                <w:bCs/>
                <w:lang w:val="af-ZA"/>
              </w:rPr>
              <w:t xml:space="preserve">Այս առումով գտնում ենք, որ հոդվածի 4-րդ մասում թվարկված սուբյեկտներին միևնույն ընտանիքի անդամ համարելը բացառապես վերջիններիս </w:t>
            </w:r>
            <w:r w:rsidRPr="00E628D7">
              <w:rPr>
                <w:rFonts w:cs="Sylfaen"/>
                <w:bCs/>
                <w:i/>
                <w:lang w:val="af-ZA"/>
              </w:rPr>
              <w:t>միևնույն հարկի տակ բնակվելու</w:t>
            </w:r>
            <w:r w:rsidRPr="00E628D7">
              <w:rPr>
                <w:rFonts w:cs="Sylfaen"/>
                <w:bCs/>
                <w:lang w:val="af-ZA"/>
              </w:rPr>
              <w:t xml:space="preserve"> կամ </w:t>
            </w:r>
            <w:r w:rsidRPr="00E628D7">
              <w:rPr>
                <w:rFonts w:cs="Sylfaen"/>
                <w:bCs/>
                <w:i/>
                <w:lang w:val="af-ZA"/>
              </w:rPr>
              <w:t xml:space="preserve">համատեղ տնտեսություն վարելու </w:t>
            </w:r>
            <w:r w:rsidRPr="00E628D7">
              <w:rPr>
                <w:rFonts w:cs="Sylfaen"/>
                <w:bCs/>
                <w:lang w:val="af-ZA"/>
              </w:rPr>
              <w:t>հանգամանքներով պայմանավորելը խնդրահարույց է, քանի որ նշված կարգավորում</w:t>
            </w:r>
            <w:r w:rsidRPr="00E628D7">
              <w:rPr>
                <w:rFonts w:cs="Sylfaen"/>
                <w:bCs/>
                <w:lang w:val="ru-RU"/>
              </w:rPr>
              <w:t>ն</w:t>
            </w:r>
            <w:r w:rsidRPr="00E628D7">
              <w:rPr>
                <w:rFonts w:cs="Sylfaen"/>
                <w:bCs/>
                <w:lang w:val="af-ZA"/>
              </w:rPr>
              <w:t xml:space="preserve"> </w:t>
            </w:r>
            <w:r w:rsidRPr="00E628D7">
              <w:rPr>
                <w:rFonts w:cs="Sylfaen"/>
                <w:bCs/>
                <w:lang w:val="ru-RU"/>
              </w:rPr>
              <w:t>անհարկի</w:t>
            </w:r>
            <w:r w:rsidRPr="00E628D7">
              <w:rPr>
                <w:rFonts w:cs="Sylfaen"/>
                <w:bCs/>
                <w:lang w:val="af-ZA"/>
              </w:rPr>
              <w:t xml:space="preserve"> սահմանափակում է փոխկապակցված անձանց շրջանակը, ինչն իր հերթին ընդլայնում է փոխկապակցված անձանց </w:t>
            </w:r>
            <w:r w:rsidRPr="00E628D7">
              <w:rPr>
                <w:rFonts w:cs="Sylfaen"/>
                <w:bCs/>
                <w:lang w:val="af-ZA"/>
              </w:rPr>
              <w:lastRenderedPageBreak/>
              <w:t>ինստիտուտի հետ կապված հնարավոր ռիսկերը:</w:t>
            </w:r>
            <w:r w:rsidR="00DD2AEB" w:rsidRPr="00E628D7">
              <w:rPr>
                <w:rFonts w:cs="Sylfaen"/>
                <w:bCs/>
                <w:color w:val="000000"/>
                <w:lang w:val="af-ZA"/>
              </w:rPr>
              <w:t xml:space="preserve"> Միևնույն ժամանակ գտնում ենք, որ փոխկապակցված անձ համարվելու համար որպես նախապայման` 18 տարին լրացած լինելու </w:t>
            </w:r>
            <w:r w:rsidR="00DD2AEB" w:rsidRPr="00E628D7">
              <w:rPr>
                <w:rFonts w:cs="Sylfaen"/>
                <w:bCs/>
                <w:color w:val="000000"/>
                <w:lang w:val="ru-RU"/>
              </w:rPr>
              <w:t>պահանջի</w:t>
            </w:r>
            <w:r w:rsidR="00DD2AEB" w:rsidRPr="00E628D7">
              <w:rPr>
                <w:rFonts w:cs="Sylfaen"/>
                <w:bCs/>
                <w:color w:val="000000"/>
                <w:lang w:val="af-ZA"/>
              </w:rPr>
              <w:t xml:space="preserve"> ամրագրումն ունի լրացուցիչ պարզաբանման կարիք: Այսպես, եթե նշված նախապայմանի ամրագրումն ուղղված է հոդվածում թվարկված սուբյեկտների փոխկապակցված անձ համարվելը վերջիններիս գործունակությամբ պայմանավորելուն, ապա նախատեսվող կարգավորման պարագայում անտեսվում են էմանսիպացիայի ինստիտուտի առանձնահատկությունները:</w:t>
            </w:r>
          </w:p>
        </w:tc>
        <w:tc>
          <w:tcPr>
            <w:tcW w:w="3438" w:type="dxa"/>
          </w:tcPr>
          <w:p w:rsidR="00DD2AEB" w:rsidRPr="00E628D7" w:rsidRDefault="0033587E" w:rsidP="0033587E">
            <w:pPr>
              <w:rPr>
                <w:sz w:val="24"/>
                <w:szCs w:val="24"/>
              </w:rPr>
            </w:pPr>
            <w:r w:rsidRPr="00E628D7">
              <w:rPr>
                <w:sz w:val="24"/>
                <w:szCs w:val="24"/>
              </w:rPr>
              <w:lastRenderedPageBreak/>
              <w:t xml:space="preserve">Քննարկվել է նշված </w:t>
            </w:r>
            <w:r w:rsidR="00AE3C2E" w:rsidRPr="00E628D7">
              <w:rPr>
                <w:sz w:val="24"/>
                <w:szCs w:val="24"/>
              </w:rPr>
              <w:t>նախա</w:t>
            </w:r>
            <w:r w:rsidRPr="00E628D7">
              <w:rPr>
                <w:sz w:val="24"/>
                <w:szCs w:val="24"/>
              </w:rPr>
              <w:t xml:space="preserve">գիծը ՀՀ արդարադատության նախարարության ներկայացուցիչների հետ և նշվել է, որ նման փոփոխությունը փոխկապակցված անձանց շրջանակը նեղացնելու և առկա կարգավորումը մեղմացնելու նպատակ է հետապնդում: </w:t>
            </w:r>
            <w:r w:rsidRPr="00E628D7">
              <w:rPr>
                <w:sz w:val="24"/>
                <w:szCs w:val="24"/>
              </w:rPr>
              <w:lastRenderedPageBreak/>
              <w:t xml:space="preserve">Կարգավորման տեսանկյունից գնահատվում է ոչ </w:t>
            </w:r>
            <w:r w:rsidR="00DD2AEB" w:rsidRPr="00E628D7">
              <w:rPr>
                <w:sz w:val="24"/>
                <w:szCs w:val="24"/>
              </w:rPr>
              <w:t>միայն</w:t>
            </w:r>
            <w:r w:rsidRPr="00E628D7">
              <w:rPr>
                <w:sz w:val="24"/>
                <w:szCs w:val="24"/>
              </w:rPr>
              <w:t xml:space="preserve"> ազգակցական կապը, այլ </w:t>
            </w:r>
            <w:r w:rsidR="00DD2AEB" w:rsidRPr="00E628D7">
              <w:rPr>
                <w:sz w:val="24"/>
                <w:szCs w:val="24"/>
              </w:rPr>
              <w:t>միևնույն տնտեսություն վարելը, քանի որ դեռևս ազգակցական կապի առկայությունը չի նշանակում, որ վարկային կամ այլ կարգավորումները պետք է խիստ լինեն այդ անձանց նկատմամբ:</w:t>
            </w:r>
          </w:p>
          <w:p w:rsidR="0033587E" w:rsidRPr="00E628D7" w:rsidRDefault="00DD2AEB" w:rsidP="0033587E">
            <w:pPr>
              <w:rPr>
                <w:sz w:val="24"/>
                <w:szCs w:val="24"/>
              </w:rPr>
            </w:pPr>
            <w:r w:rsidRPr="00E628D7">
              <w:rPr>
                <w:sz w:val="24"/>
                <w:szCs w:val="24"/>
              </w:rPr>
              <w:t xml:space="preserve"> Ինչ վերաբերում է էմանսիպացիային, ապա նման կարգավորմամբ ոչ թե անպեսվում է այդ ինստիտուտը, այլ ֆինանսական գործարքների գնահատման առումով ավելի խիստ կարգավորումների ներքո տվյալ անձի կողմից մինչև 18 տարին լրանալը կատարած գործարքները չեն ընդգրկվում:</w:t>
            </w:r>
          </w:p>
        </w:tc>
      </w:tr>
      <w:tr w:rsidR="00DD2AEB" w:rsidRPr="00E628D7" w:rsidTr="0024664B">
        <w:tc>
          <w:tcPr>
            <w:tcW w:w="648" w:type="dxa"/>
          </w:tcPr>
          <w:p w:rsidR="00DD2AEB" w:rsidRPr="00E628D7" w:rsidRDefault="00DD2AEB" w:rsidP="0024664B">
            <w:pPr>
              <w:jc w:val="center"/>
              <w:rPr>
                <w:sz w:val="24"/>
                <w:szCs w:val="24"/>
              </w:rPr>
            </w:pPr>
          </w:p>
        </w:tc>
        <w:tc>
          <w:tcPr>
            <w:tcW w:w="3420" w:type="dxa"/>
          </w:tcPr>
          <w:p w:rsidR="00DD2AEB" w:rsidRPr="00E628D7" w:rsidRDefault="00DD2AEB" w:rsidP="0024664B">
            <w:pPr>
              <w:jc w:val="center"/>
              <w:rPr>
                <w:sz w:val="24"/>
                <w:szCs w:val="24"/>
              </w:rPr>
            </w:pPr>
          </w:p>
        </w:tc>
        <w:tc>
          <w:tcPr>
            <w:tcW w:w="5670" w:type="dxa"/>
          </w:tcPr>
          <w:p w:rsidR="00DD2AEB" w:rsidRPr="00E628D7" w:rsidRDefault="00DD2AEB" w:rsidP="00995A02">
            <w:pPr>
              <w:pStyle w:val="ListParagraph"/>
              <w:numPr>
                <w:ilvl w:val="0"/>
                <w:numId w:val="2"/>
              </w:numPr>
              <w:spacing w:line="360" w:lineRule="auto"/>
              <w:jc w:val="both"/>
              <w:rPr>
                <w:rFonts w:ascii="GHEA Grapalat" w:hAnsi="GHEA Grapalat" w:cstheme="minorBidi"/>
                <w:b/>
                <w:color w:val="000000"/>
                <w:lang w:val="af-ZA"/>
              </w:rPr>
            </w:pPr>
            <w:r w:rsidRPr="00E628D7">
              <w:rPr>
                <w:rFonts w:ascii="GHEA Grapalat" w:hAnsi="GHEA Grapalat" w:cs="Sylfaen"/>
                <w:lang w:val="af-ZA"/>
              </w:rPr>
              <w:t>Նախագծի</w:t>
            </w:r>
            <w:r w:rsidRPr="00E628D7">
              <w:rPr>
                <w:rFonts w:ascii="GHEA Grapalat" w:hAnsi="GHEA Grapalat"/>
                <w:lang w:val="af-ZA"/>
              </w:rPr>
              <w:t xml:space="preserve"> 2-</w:t>
            </w:r>
            <w:r w:rsidRPr="00E628D7">
              <w:rPr>
                <w:rFonts w:ascii="GHEA Grapalat" w:hAnsi="GHEA Grapalat" w:cs="Sylfaen"/>
                <w:lang w:val="af-ZA"/>
              </w:rPr>
              <w:t>րդ</w:t>
            </w:r>
            <w:r w:rsidRPr="00E628D7">
              <w:rPr>
                <w:rFonts w:ascii="GHEA Grapalat" w:hAnsi="GHEA Grapalat"/>
                <w:lang w:val="af-ZA"/>
              </w:rPr>
              <w:t xml:space="preserve"> </w:t>
            </w:r>
            <w:r w:rsidRPr="00E628D7">
              <w:rPr>
                <w:rFonts w:ascii="GHEA Grapalat" w:hAnsi="GHEA Grapalat" w:cs="Sylfaen"/>
                <w:lang w:val="af-ZA"/>
              </w:rPr>
              <w:t>հոդվածում</w:t>
            </w:r>
            <w:r w:rsidRPr="00E628D7">
              <w:rPr>
                <w:rFonts w:ascii="GHEA Grapalat" w:hAnsi="GHEA Grapalat"/>
                <w:lang w:val="af-ZA"/>
              </w:rPr>
              <w:t xml:space="preserve"> «18 </w:t>
            </w:r>
            <w:r w:rsidRPr="00E628D7">
              <w:rPr>
                <w:rFonts w:ascii="GHEA Grapalat" w:hAnsi="GHEA Grapalat" w:cs="Sylfaen"/>
                <w:lang w:val="af-ZA"/>
              </w:rPr>
              <w:t>տարին</w:t>
            </w:r>
            <w:r w:rsidRPr="00E628D7">
              <w:rPr>
                <w:rFonts w:ascii="GHEA Grapalat" w:hAnsi="GHEA Grapalat"/>
                <w:lang w:val="af-ZA"/>
              </w:rPr>
              <w:t xml:space="preserve"> </w:t>
            </w:r>
            <w:r w:rsidRPr="00E628D7">
              <w:rPr>
                <w:rFonts w:ascii="GHEA Grapalat" w:hAnsi="GHEA Grapalat" w:cs="Sylfaen"/>
                <w:lang w:val="af-ZA"/>
              </w:rPr>
              <w:t>լրացած</w:t>
            </w:r>
            <w:r w:rsidRPr="00E628D7">
              <w:rPr>
                <w:rFonts w:ascii="GHEA Grapalat" w:hAnsi="GHEA Grapalat"/>
                <w:lang w:val="af-ZA"/>
              </w:rPr>
              <w:t xml:space="preserve"> </w:t>
            </w:r>
            <w:r w:rsidRPr="00E628D7">
              <w:rPr>
                <w:rFonts w:ascii="GHEA Grapalat" w:hAnsi="GHEA Grapalat" w:cs="Sylfaen"/>
                <w:lang w:val="af-ZA"/>
              </w:rPr>
              <w:t>ամուսնու</w:t>
            </w:r>
            <w:r w:rsidRPr="00E628D7">
              <w:rPr>
                <w:rFonts w:ascii="GHEA Grapalat" w:hAnsi="GHEA Grapalat"/>
                <w:lang w:val="af-ZA"/>
              </w:rPr>
              <w:t xml:space="preserve"> </w:t>
            </w:r>
            <w:r w:rsidRPr="00E628D7">
              <w:rPr>
                <w:rFonts w:ascii="GHEA Grapalat" w:hAnsi="GHEA Grapalat" w:cs="Sylfaen"/>
                <w:lang w:val="af-ZA"/>
              </w:rPr>
              <w:t>զավակը</w:t>
            </w:r>
            <w:r w:rsidRPr="00E628D7">
              <w:rPr>
                <w:rFonts w:ascii="GHEA Grapalat" w:hAnsi="GHEA Grapalat"/>
                <w:lang w:val="af-ZA"/>
              </w:rPr>
              <w:t xml:space="preserve">» </w:t>
            </w:r>
            <w:r w:rsidRPr="00E628D7">
              <w:rPr>
                <w:rFonts w:ascii="GHEA Grapalat" w:hAnsi="GHEA Grapalat" w:cs="Sylfaen"/>
                <w:lang w:val="af-ZA"/>
              </w:rPr>
              <w:t>բառերն</w:t>
            </w:r>
            <w:r w:rsidRPr="00E628D7">
              <w:rPr>
                <w:rFonts w:ascii="GHEA Grapalat" w:hAnsi="GHEA Grapalat"/>
                <w:lang w:val="af-ZA"/>
              </w:rPr>
              <w:t xml:space="preserve"> </w:t>
            </w:r>
            <w:r w:rsidRPr="00E628D7">
              <w:rPr>
                <w:rFonts w:ascii="GHEA Grapalat" w:hAnsi="GHEA Grapalat" w:cs="Sylfaen"/>
                <w:lang w:val="af-ZA"/>
              </w:rPr>
              <w:t>անհրաժեշտ</w:t>
            </w:r>
            <w:r w:rsidRPr="00E628D7">
              <w:rPr>
                <w:rFonts w:ascii="GHEA Grapalat" w:hAnsi="GHEA Grapalat"/>
                <w:lang w:val="af-ZA"/>
              </w:rPr>
              <w:t xml:space="preserve"> </w:t>
            </w:r>
            <w:r w:rsidRPr="00E628D7">
              <w:rPr>
                <w:rFonts w:ascii="GHEA Grapalat" w:hAnsi="GHEA Grapalat" w:cs="Sylfaen"/>
                <w:lang w:val="af-ZA"/>
              </w:rPr>
              <w:t>է</w:t>
            </w:r>
            <w:r w:rsidRPr="00E628D7">
              <w:rPr>
                <w:rFonts w:ascii="GHEA Grapalat" w:hAnsi="GHEA Grapalat"/>
                <w:lang w:val="af-ZA"/>
              </w:rPr>
              <w:t xml:space="preserve"> </w:t>
            </w:r>
            <w:r w:rsidRPr="00E628D7">
              <w:rPr>
                <w:rFonts w:ascii="GHEA Grapalat" w:hAnsi="GHEA Grapalat" w:cs="Sylfaen"/>
                <w:lang w:val="af-ZA"/>
              </w:rPr>
              <w:t>փոխարինել</w:t>
            </w:r>
            <w:r w:rsidRPr="00E628D7">
              <w:rPr>
                <w:rFonts w:ascii="GHEA Grapalat" w:hAnsi="GHEA Grapalat"/>
                <w:lang w:val="af-ZA"/>
              </w:rPr>
              <w:t xml:space="preserve"> «</w:t>
            </w:r>
            <w:r w:rsidRPr="00E628D7">
              <w:rPr>
                <w:rFonts w:ascii="GHEA Grapalat" w:hAnsi="GHEA Grapalat" w:cs="Sylfaen"/>
                <w:lang w:val="af-ZA"/>
              </w:rPr>
              <w:t>ամուսնու</w:t>
            </w:r>
            <w:r w:rsidRPr="00E628D7">
              <w:rPr>
                <w:rFonts w:ascii="GHEA Grapalat" w:hAnsi="GHEA Grapalat"/>
                <w:lang w:val="af-ZA"/>
              </w:rPr>
              <w:t xml:space="preserve">` 18 </w:t>
            </w:r>
            <w:r w:rsidRPr="00E628D7">
              <w:rPr>
                <w:rFonts w:ascii="GHEA Grapalat" w:hAnsi="GHEA Grapalat" w:cs="Sylfaen"/>
                <w:lang w:val="af-ZA"/>
              </w:rPr>
              <w:t>տարին</w:t>
            </w:r>
            <w:r w:rsidRPr="00E628D7">
              <w:rPr>
                <w:rFonts w:ascii="GHEA Grapalat" w:hAnsi="GHEA Grapalat"/>
                <w:lang w:val="af-ZA"/>
              </w:rPr>
              <w:t xml:space="preserve"> </w:t>
            </w:r>
            <w:r w:rsidRPr="00E628D7">
              <w:rPr>
                <w:rFonts w:ascii="GHEA Grapalat" w:hAnsi="GHEA Grapalat" w:cs="Sylfaen"/>
                <w:lang w:val="af-ZA"/>
              </w:rPr>
              <w:t>լրացած</w:t>
            </w:r>
            <w:r w:rsidRPr="00E628D7">
              <w:rPr>
                <w:rFonts w:ascii="GHEA Grapalat" w:hAnsi="GHEA Grapalat"/>
                <w:lang w:val="af-ZA"/>
              </w:rPr>
              <w:t xml:space="preserve"> </w:t>
            </w:r>
            <w:r w:rsidRPr="00E628D7">
              <w:rPr>
                <w:rFonts w:ascii="GHEA Grapalat" w:hAnsi="GHEA Grapalat" w:cs="Sylfaen"/>
                <w:lang w:val="af-ZA"/>
              </w:rPr>
              <w:t>զավակը</w:t>
            </w:r>
            <w:r w:rsidRPr="00E628D7">
              <w:rPr>
                <w:rFonts w:ascii="GHEA Grapalat" w:hAnsi="GHEA Grapalat"/>
                <w:lang w:val="af-ZA"/>
              </w:rPr>
              <w:t xml:space="preserve"> </w:t>
            </w:r>
            <w:r w:rsidRPr="00E628D7">
              <w:rPr>
                <w:rFonts w:ascii="GHEA Grapalat" w:hAnsi="GHEA Grapalat" w:cs="Sylfaen"/>
                <w:lang w:val="af-ZA"/>
              </w:rPr>
              <w:t>բառերով</w:t>
            </w:r>
            <w:r w:rsidRPr="00E628D7">
              <w:rPr>
                <w:rFonts w:ascii="GHEA Grapalat" w:hAnsi="GHEA Grapalat"/>
                <w:lang w:val="af-ZA"/>
              </w:rPr>
              <w:t xml:space="preserve">», </w:t>
            </w:r>
            <w:r w:rsidRPr="00E628D7">
              <w:rPr>
                <w:rFonts w:ascii="GHEA Grapalat" w:hAnsi="GHEA Grapalat" w:cs="Sylfaen"/>
                <w:lang w:val="af-ZA"/>
              </w:rPr>
              <w:t>քանի</w:t>
            </w:r>
            <w:r w:rsidRPr="00E628D7">
              <w:rPr>
                <w:rFonts w:ascii="GHEA Grapalat" w:hAnsi="GHEA Grapalat"/>
                <w:lang w:val="af-ZA"/>
              </w:rPr>
              <w:t xml:space="preserve"> </w:t>
            </w:r>
            <w:r w:rsidRPr="00E628D7">
              <w:rPr>
                <w:rFonts w:ascii="GHEA Grapalat" w:hAnsi="GHEA Grapalat" w:cs="Sylfaen"/>
                <w:lang w:val="af-ZA"/>
              </w:rPr>
              <w:t>որ</w:t>
            </w:r>
            <w:r w:rsidRPr="00E628D7">
              <w:rPr>
                <w:rFonts w:ascii="GHEA Grapalat" w:hAnsi="GHEA Grapalat"/>
                <w:lang w:val="af-ZA"/>
              </w:rPr>
              <w:t xml:space="preserve"> 18 </w:t>
            </w:r>
            <w:r w:rsidRPr="00E628D7">
              <w:rPr>
                <w:rFonts w:ascii="GHEA Grapalat" w:hAnsi="GHEA Grapalat" w:cs="Sylfaen"/>
                <w:lang w:val="af-ZA"/>
              </w:rPr>
              <w:t>տարին</w:t>
            </w:r>
            <w:r w:rsidRPr="00E628D7">
              <w:rPr>
                <w:rFonts w:ascii="GHEA Grapalat" w:hAnsi="GHEA Grapalat"/>
                <w:lang w:val="af-ZA"/>
              </w:rPr>
              <w:t xml:space="preserve"> </w:t>
            </w:r>
            <w:r w:rsidRPr="00E628D7">
              <w:rPr>
                <w:rFonts w:ascii="GHEA Grapalat" w:hAnsi="GHEA Grapalat" w:cs="Sylfaen"/>
                <w:lang w:val="af-ZA"/>
              </w:rPr>
              <w:t>լրացած</w:t>
            </w:r>
            <w:r w:rsidRPr="00E628D7">
              <w:rPr>
                <w:rFonts w:ascii="GHEA Grapalat" w:hAnsi="GHEA Grapalat"/>
                <w:lang w:val="af-ZA"/>
              </w:rPr>
              <w:t xml:space="preserve"> </w:t>
            </w:r>
            <w:r w:rsidRPr="00E628D7">
              <w:rPr>
                <w:rFonts w:ascii="GHEA Grapalat" w:hAnsi="GHEA Grapalat" w:cs="Sylfaen"/>
                <w:lang w:val="af-ZA"/>
              </w:rPr>
              <w:t>լինելու</w:t>
            </w:r>
            <w:r w:rsidRPr="00E628D7">
              <w:rPr>
                <w:rFonts w:ascii="GHEA Grapalat" w:hAnsi="GHEA Grapalat"/>
                <w:lang w:val="af-ZA"/>
              </w:rPr>
              <w:t xml:space="preserve"> </w:t>
            </w:r>
            <w:r w:rsidRPr="00E628D7">
              <w:rPr>
                <w:rFonts w:ascii="GHEA Grapalat" w:hAnsi="GHEA Grapalat" w:cs="Sylfaen"/>
                <w:lang w:val="af-ZA"/>
              </w:rPr>
              <w:t>պայմանը</w:t>
            </w:r>
            <w:r w:rsidRPr="00E628D7">
              <w:rPr>
                <w:rFonts w:ascii="GHEA Grapalat" w:hAnsi="GHEA Grapalat"/>
                <w:lang w:val="af-ZA"/>
              </w:rPr>
              <w:t xml:space="preserve"> </w:t>
            </w:r>
            <w:r w:rsidRPr="00E628D7">
              <w:rPr>
                <w:rFonts w:ascii="GHEA Grapalat" w:hAnsi="GHEA Grapalat" w:cs="Sylfaen"/>
                <w:lang w:val="af-ZA"/>
              </w:rPr>
              <w:t>վերաբերում</w:t>
            </w:r>
            <w:r w:rsidRPr="00E628D7">
              <w:rPr>
                <w:rFonts w:ascii="GHEA Grapalat" w:hAnsi="GHEA Grapalat"/>
                <w:lang w:val="af-ZA"/>
              </w:rPr>
              <w:t xml:space="preserve"> </w:t>
            </w:r>
            <w:r w:rsidRPr="00E628D7">
              <w:rPr>
                <w:rFonts w:ascii="GHEA Grapalat" w:hAnsi="GHEA Grapalat" w:cs="Sylfaen"/>
                <w:lang w:val="af-ZA"/>
              </w:rPr>
              <w:t>է</w:t>
            </w:r>
            <w:r w:rsidRPr="00E628D7">
              <w:rPr>
                <w:rFonts w:ascii="GHEA Grapalat" w:hAnsi="GHEA Grapalat"/>
                <w:lang w:val="af-ZA"/>
              </w:rPr>
              <w:t xml:space="preserve"> </w:t>
            </w:r>
            <w:r w:rsidRPr="00E628D7">
              <w:rPr>
                <w:rFonts w:ascii="GHEA Grapalat" w:hAnsi="GHEA Grapalat" w:cs="Sylfaen"/>
                <w:lang w:val="af-ZA"/>
              </w:rPr>
              <w:t>ոչ</w:t>
            </w:r>
            <w:r w:rsidRPr="00E628D7">
              <w:rPr>
                <w:rFonts w:ascii="GHEA Grapalat" w:hAnsi="GHEA Grapalat"/>
                <w:lang w:val="af-ZA"/>
              </w:rPr>
              <w:t xml:space="preserve"> </w:t>
            </w:r>
            <w:r w:rsidRPr="00E628D7">
              <w:rPr>
                <w:rFonts w:ascii="GHEA Grapalat" w:hAnsi="GHEA Grapalat" w:cs="Sylfaen"/>
                <w:lang w:val="af-ZA"/>
              </w:rPr>
              <w:t>թե</w:t>
            </w:r>
            <w:r w:rsidRPr="00E628D7">
              <w:rPr>
                <w:rFonts w:ascii="GHEA Grapalat" w:hAnsi="GHEA Grapalat"/>
                <w:lang w:val="af-ZA"/>
              </w:rPr>
              <w:t xml:space="preserve"> </w:t>
            </w:r>
            <w:r w:rsidRPr="00E628D7">
              <w:rPr>
                <w:rFonts w:ascii="GHEA Grapalat" w:hAnsi="GHEA Grapalat" w:cs="Sylfaen"/>
                <w:lang w:val="af-ZA"/>
              </w:rPr>
              <w:t>ամուսնուն</w:t>
            </w:r>
            <w:r w:rsidRPr="00E628D7">
              <w:rPr>
                <w:rFonts w:ascii="GHEA Grapalat" w:hAnsi="GHEA Grapalat"/>
                <w:lang w:val="af-ZA"/>
              </w:rPr>
              <w:t xml:space="preserve">, </w:t>
            </w:r>
            <w:r w:rsidRPr="00E628D7">
              <w:rPr>
                <w:rFonts w:ascii="GHEA Grapalat" w:hAnsi="GHEA Grapalat" w:cs="Sylfaen"/>
                <w:lang w:val="af-ZA"/>
              </w:rPr>
              <w:t>այլ</w:t>
            </w:r>
            <w:r w:rsidRPr="00E628D7">
              <w:rPr>
                <w:rFonts w:ascii="GHEA Grapalat" w:hAnsi="GHEA Grapalat"/>
                <w:lang w:val="af-ZA"/>
              </w:rPr>
              <w:t xml:space="preserve"> </w:t>
            </w:r>
            <w:r w:rsidRPr="00E628D7">
              <w:rPr>
                <w:rFonts w:ascii="GHEA Grapalat" w:hAnsi="GHEA Grapalat" w:cs="Sylfaen"/>
                <w:lang w:val="af-ZA"/>
              </w:rPr>
              <w:t>վերջինիս</w:t>
            </w:r>
            <w:r w:rsidRPr="00E628D7">
              <w:rPr>
                <w:rFonts w:ascii="GHEA Grapalat" w:hAnsi="GHEA Grapalat"/>
                <w:lang w:val="af-ZA"/>
              </w:rPr>
              <w:t xml:space="preserve"> </w:t>
            </w:r>
            <w:r w:rsidRPr="00E628D7">
              <w:rPr>
                <w:rFonts w:ascii="GHEA Grapalat" w:hAnsi="GHEA Grapalat" w:cs="Sylfaen"/>
                <w:lang w:val="af-ZA"/>
              </w:rPr>
              <w:t>զավակին</w:t>
            </w:r>
            <w:r w:rsidRPr="00E628D7">
              <w:rPr>
                <w:rFonts w:ascii="GHEA Grapalat" w:hAnsi="GHEA Grapalat"/>
                <w:lang w:val="af-ZA"/>
              </w:rPr>
              <w:t>:</w:t>
            </w:r>
            <w:r w:rsidRPr="00E628D7">
              <w:rPr>
                <w:rFonts w:ascii="GHEA Grapalat" w:hAnsi="GHEA Grapalat"/>
                <w:color w:val="000000"/>
                <w:lang w:val="af-ZA"/>
              </w:rPr>
              <w:t xml:space="preserve"> </w:t>
            </w:r>
            <w:r w:rsidRPr="00E628D7">
              <w:rPr>
                <w:rFonts w:ascii="GHEA Grapalat" w:hAnsi="GHEA Grapalat" w:cs="Sylfaen"/>
                <w:color w:val="000000"/>
                <w:lang w:val="af-ZA"/>
              </w:rPr>
              <w:t>Հիշյալ</w:t>
            </w:r>
            <w:r w:rsidRPr="00E628D7">
              <w:rPr>
                <w:rFonts w:ascii="GHEA Grapalat" w:hAnsi="GHEA Grapalat"/>
                <w:color w:val="000000"/>
                <w:lang w:val="af-ZA"/>
              </w:rPr>
              <w:t xml:space="preserve"> </w:t>
            </w:r>
            <w:r w:rsidRPr="00E628D7">
              <w:rPr>
                <w:rFonts w:ascii="GHEA Grapalat" w:hAnsi="GHEA Grapalat" w:cs="Sylfaen"/>
                <w:color w:val="000000"/>
                <w:lang w:val="af-ZA"/>
              </w:rPr>
              <w:t>առաջարկությունը</w:t>
            </w:r>
            <w:r w:rsidRPr="00E628D7">
              <w:rPr>
                <w:rFonts w:ascii="GHEA Grapalat" w:hAnsi="GHEA Grapalat"/>
                <w:color w:val="000000"/>
                <w:lang w:val="af-ZA"/>
              </w:rPr>
              <w:t xml:space="preserve"> </w:t>
            </w:r>
            <w:r w:rsidRPr="00E628D7">
              <w:rPr>
                <w:rFonts w:ascii="GHEA Grapalat" w:hAnsi="GHEA Grapalat" w:cs="Sylfaen"/>
                <w:color w:val="000000"/>
                <w:lang w:val="af-ZA"/>
              </w:rPr>
              <w:t>բխում</w:t>
            </w:r>
            <w:r w:rsidRPr="00E628D7">
              <w:rPr>
                <w:rFonts w:ascii="GHEA Grapalat" w:hAnsi="GHEA Grapalat"/>
                <w:color w:val="000000"/>
                <w:lang w:val="af-ZA"/>
              </w:rPr>
              <w:t xml:space="preserve"> </w:t>
            </w:r>
            <w:r w:rsidRPr="00E628D7">
              <w:rPr>
                <w:rFonts w:ascii="GHEA Grapalat" w:hAnsi="GHEA Grapalat" w:cs="Sylfaen"/>
                <w:color w:val="000000"/>
                <w:lang w:val="af-ZA"/>
              </w:rPr>
              <w:t>է</w:t>
            </w:r>
            <w:r w:rsidRPr="00E628D7">
              <w:rPr>
                <w:rFonts w:ascii="GHEA Grapalat" w:hAnsi="GHEA Grapalat"/>
                <w:color w:val="000000"/>
                <w:lang w:val="af-ZA"/>
              </w:rPr>
              <w:t xml:space="preserve"> «</w:t>
            </w:r>
            <w:r w:rsidRPr="00E628D7">
              <w:rPr>
                <w:rFonts w:ascii="GHEA Grapalat" w:hAnsi="GHEA Grapalat" w:cs="Sylfaen"/>
                <w:color w:val="000000"/>
                <w:lang w:val="af-ZA"/>
              </w:rPr>
              <w:t>Իրավական</w:t>
            </w:r>
            <w:r w:rsidRPr="00E628D7">
              <w:rPr>
                <w:rFonts w:ascii="GHEA Grapalat" w:hAnsi="GHEA Grapalat"/>
                <w:color w:val="000000"/>
                <w:lang w:val="af-ZA"/>
              </w:rPr>
              <w:t xml:space="preserve"> </w:t>
            </w:r>
            <w:r w:rsidRPr="00E628D7">
              <w:rPr>
                <w:rFonts w:ascii="GHEA Grapalat" w:hAnsi="GHEA Grapalat" w:cs="Sylfaen"/>
                <w:color w:val="000000"/>
                <w:lang w:val="af-ZA"/>
              </w:rPr>
              <w:t>ակտերի</w:t>
            </w:r>
            <w:r w:rsidRPr="00E628D7">
              <w:rPr>
                <w:rFonts w:ascii="GHEA Grapalat" w:hAnsi="GHEA Grapalat"/>
                <w:color w:val="000000"/>
                <w:lang w:val="af-ZA"/>
              </w:rPr>
              <w:t xml:space="preserve"> </w:t>
            </w:r>
            <w:r w:rsidRPr="00E628D7">
              <w:rPr>
                <w:rFonts w:ascii="GHEA Grapalat" w:hAnsi="GHEA Grapalat" w:cs="Sylfaen"/>
                <w:color w:val="000000"/>
                <w:lang w:val="af-ZA"/>
              </w:rPr>
              <w:t>մասին</w:t>
            </w:r>
            <w:r w:rsidRPr="00E628D7">
              <w:rPr>
                <w:rFonts w:ascii="GHEA Grapalat" w:hAnsi="GHEA Grapalat"/>
                <w:color w:val="000000"/>
                <w:lang w:val="af-ZA"/>
              </w:rPr>
              <w:t xml:space="preserve">» </w:t>
            </w:r>
            <w:r w:rsidRPr="00E628D7">
              <w:rPr>
                <w:rFonts w:ascii="GHEA Grapalat" w:hAnsi="GHEA Grapalat" w:cs="Sylfaen"/>
                <w:color w:val="000000"/>
                <w:lang w:val="af-ZA"/>
              </w:rPr>
              <w:t>ՀՀ</w:t>
            </w:r>
            <w:r w:rsidRPr="00E628D7">
              <w:rPr>
                <w:rFonts w:ascii="GHEA Grapalat" w:hAnsi="GHEA Grapalat"/>
                <w:color w:val="000000"/>
                <w:lang w:val="af-ZA"/>
              </w:rPr>
              <w:t xml:space="preserve"> </w:t>
            </w:r>
            <w:r w:rsidRPr="00E628D7">
              <w:rPr>
                <w:rFonts w:ascii="GHEA Grapalat" w:hAnsi="GHEA Grapalat" w:cs="Sylfaen"/>
                <w:color w:val="000000"/>
                <w:lang w:val="af-ZA"/>
              </w:rPr>
              <w:t>օրենքի</w:t>
            </w:r>
            <w:r w:rsidRPr="00E628D7">
              <w:rPr>
                <w:rFonts w:ascii="GHEA Grapalat" w:hAnsi="GHEA Grapalat"/>
                <w:color w:val="000000"/>
                <w:lang w:val="af-ZA"/>
              </w:rPr>
              <w:t xml:space="preserve"> 36-</w:t>
            </w:r>
            <w:r w:rsidRPr="00E628D7">
              <w:rPr>
                <w:rFonts w:ascii="GHEA Grapalat" w:hAnsi="GHEA Grapalat" w:cs="Sylfaen"/>
                <w:color w:val="000000"/>
                <w:lang w:val="af-ZA"/>
              </w:rPr>
              <w:t>րդ</w:t>
            </w:r>
            <w:r w:rsidRPr="00E628D7">
              <w:rPr>
                <w:rFonts w:ascii="GHEA Grapalat" w:hAnsi="GHEA Grapalat"/>
                <w:color w:val="000000"/>
                <w:lang w:val="af-ZA"/>
              </w:rPr>
              <w:t xml:space="preserve"> </w:t>
            </w:r>
            <w:r w:rsidRPr="00E628D7">
              <w:rPr>
                <w:rFonts w:ascii="GHEA Grapalat" w:hAnsi="GHEA Grapalat" w:cs="Sylfaen"/>
                <w:color w:val="000000"/>
                <w:lang w:val="af-ZA"/>
              </w:rPr>
              <w:lastRenderedPageBreak/>
              <w:t>հոդվածի</w:t>
            </w:r>
            <w:r w:rsidRPr="00E628D7">
              <w:rPr>
                <w:rFonts w:ascii="GHEA Grapalat" w:hAnsi="GHEA Grapalat"/>
                <w:color w:val="000000"/>
                <w:lang w:val="af-ZA"/>
              </w:rPr>
              <w:t xml:space="preserve"> </w:t>
            </w:r>
            <w:r w:rsidRPr="00E628D7">
              <w:rPr>
                <w:rFonts w:ascii="GHEA Grapalat" w:hAnsi="GHEA Grapalat" w:cs="Sylfaen"/>
                <w:color w:val="000000"/>
                <w:lang w:val="af-ZA"/>
              </w:rPr>
              <w:t>պահանջներից</w:t>
            </w:r>
            <w:r w:rsidRPr="00E628D7">
              <w:rPr>
                <w:rFonts w:ascii="GHEA Grapalat" w:hAnsi="GHEA Grapalat"/>
                <w:b/>
                <w:color w:val="000000"/>
                <w:lang w:val="af-ZA"/>
              </w:rPr>
              <w:t>:</w:t>
            </w:r>
          </w:p>
        </w:tc>
        <w:tc>
          <w:tcPr>
            <w:tcW w:w="3438" w:type="dxa"/>
          </w:tcPr>
          <w:p w:rsidR="00DD2AEB" w:rsidRPr="00E628D7" w:rsidRDefault="00DD2AEB" w:rsidP="0033587E">
            <w:pPr>
              <w:rPr>
                <w:sz w:val="24"/>
                <w:szCs w:val="24"/>
              </w:rPr>
            </w:pPr>
            <w:r w:rsidRPr="00E628D7">
              <w:rPr>
                <w:sz w:val="24"/>
                <w:szCs w:val="24"/>
              </w:rPr>
              <w:lastRenderedPageBreak/>
              <w:t xml:space="preserve">Ընդունելի է: նշված հոդվածը խմբագրվել է: </w:t>
            </w:r>
          </w:p>
        </w:tc>
      </w:tr>
      <w:tr w:rsidR="00DD2AEB" w:rsidRPr="00E628D7" w:rsidTr="0024664B">
        <w:tc>
          <w:tcPr>
            <w:tcW w:w="648" w:type="dxa"/>
          </w:tcPr>
          <w:p w:rsidR="00DD2AEB" w:rsidRPr="00E628D7" w:rsidRDefault="00DD2AEB" w:rsidP="0024664B">
            <w:pPr>
              <w:jc w:val="center"/>
              <w:rPr>
                <w:sz w:val="24"/>
                <w:szCs w:val="24"/>
              </w:rPr>
            </w:pPr>
          </w:p>
        </w:tc>
        <w:tc>
          <w:tcPr>
            <w:tcW w:w="3420" w:type="dxa"/>
          </w:tcPr>
          <w:p w:rsidR="00DD2AEB" w:rsidRPr="00E628D7" w:rsidRDefault="00DD2AEB" w:rsidP="0024664B">
            <w:pPr>
              <w:jc w:val="center"/>
              <w:rPr>
                <w:sz w:val="24"/>
                <w:szCs w:val="24"/>
              </w:rPr>
            </w:pPr>
          </w:p>
        </w:tc>
        <w:tc>
          <w:tcPr>
            <w:tcW w:w="5670" w:type="dxa"/>
          </w:tcPr>
          <w:p w:rsidR="00341C7A" w:rsidRPr="00E628D7" w:rsidRDefault="00341C7A" w:rsidP="00995A02">
            <w:pPr>
              <w:pStyle w:val="ListParagraph"/>
              <w:numPr>
                <w:ilvl w:val="0"/>
                <w:numId w:val="2"/>
              </w:numPr>
              <w:spacing w:line="360" w:lineRule="auto"/>
              <w:jc w:val="both"/>
              <w:rPr>
                <w:rFonts w:ascii="GHEA Grapalat" w:hAnsi="GHEA Grapalat"/>
                <w:lang w:val="af-ZA"/>
              </w:rPr>
            </w:pPr>
            <w:r w:rsidRPr="00E628D7">
              <w:rPr>
                <w:rFonts w:ascii="GHEA Grapalat" w:hAnsi="GHEA Grapalat" w:cs="Sylfaen"/>
                <w:lang w:val="af-ZA"/>
              </w:rPr>
              <w:t>Նախագծի</w:t>
            </w:r>
            <w:r w:rsidRPr="00E628D7">
              <w:rPr>
                <w:rFonts w:ascii="GHEA Grapalat" w:hAnsi="GHEA Grapalat"/>
                <w:lang w:val="af-ZA"/>
              </w:rPr>
              <w:t xml:space="preserve"> 5-</w:t>
            </w:r>
            <w:r w:rsidRPr="00E628D7">
              <w:rPr>
                <w:rFonts w:ascii="GHEA Grapalat" w:hAnsi="GHEA Grapalat" w:cs="Sylfaen"/>
                <w:lang w:val="af-ZA"/>
              </w:rPr>
              <w:t>րդ</w:t>
            </w:r>
            <w:r w:rsidRPr="00E628D7">
              <w:rPr>
                <w:rFonts w:ascii="GHEA Grapalat" w:hAnsi="GHEA Grapalat"/>
                <w:lang w:val="af-ZA"/>
              </w:rPr>
              <w:t xml:space="preserve"> </w:t>
            </w:r>
            <w:r w:rsidRPr="00E628D7">
              <w:rPr>
                <w:rFonts w:ascii="GHEA Grapalat" w:hAnsi="GHEA Grapalat" w:cs="Sylfaen"/>
                <w:lang w:val="af-ZA"/>
              </w:rPr>
              <w:t>հոդվածի</w:t>
            </w:r>
            <w:r w:rsidRPr="00E628D7">
              <w:rPr>
                <w:rFonts w:ascii="GHEA Grapalat" w:hAnsi="GHEA Grapalat"/>
                <w:lang w:val="af-ZA"/>
              </w:rPr>
              <w:t xml:space="preserve"> 3-</w:t>
            </w:r>
            <w:r w:rsidRPr="00E628D7">
              <w:rPr>
                <w:rFonts w:ascii="GHEA Grapalat" w:hAnsi="GHEA Grapalat" w:cs="Sylfaen"/>
                <w:lang w:val="af-ZA"/>
              </w:rPr>
              <w:t>րդ</w:t>
            </w:r>
            <w:r w:rsidRPr="00E628D7">
              <w:rPr>
                <w:rFonts w:ascii="GHEA Grapalat" w:hAnsi="GHEA Grapalat"/>
                <w:lang w:val="af-ZA"/>
              </w:rPr>
              <w:t xml:space="preserve"> </w:t>
            </w:r>
            <w:r w:rsidRPr="00E628D7">
              <w:rPr>
                <w:rFonts w:ascii="GHEA Grapalat" w:hAnsi="GHEA Grapalat" w:cs="Sylfaen"/>
                <w:lang w:val="af-ZA"/>
              </w:rPr>
              <w:t>մասով</w:t>
            </w:r>
            <w:r w:rsidRPr="00E628D7">
              <w:rPr>
                <w:rFonts w:ascii="GHEA Grapalat" w:hAnsi="GHEA Grapalat"/>
                <w:lang w:val="af-ZA"/>
              </w:rPr>
              <w:t xml:space="preserve"> </w:t>
            </w:r>
            <w:r w:rsidRPr="00E628D7">
              <w:rPr>
                <w:rFonts w:ascii="GHEA Grapalat" w:hAnsi="GHEA Grapalat" w:cs="Sylfaen"/>
                <w:lang w:val="af-ZA"/>
              </w:rPr>
              <w:t>նախատեսվում</w:t>
            </w:r>
            <w:r w:rsidRPr="00E628D7">
              <w:rPr>
                <w:rFonts w:ascii="GHEA Grapalat" w:hAnsi="GHEA Grapalat"/>
                <w:lang w:val="af-ZA"/>
              </w:rPr>
              <w:t xml:space="preserve"> </w:t>
            </w:r>
            <w:r w:rsidRPr="00E628D7">
              <w:rPr>
                <w:rFonts w:ascii="GHEA Grapalat" w:hAnsi="GHEA Grapalat" w:cs="Sylfaen"/>
                <w:lang w:val="af-ZA"/>
              </w:rPr>
              <w:t>է</w:t>
            </w:r>
            <w:r w:rsidRPr="00E628D7">
              <w:rPr>
                <w:rFonts w:ascii="GHEA Grapalat" w:hAnsi="GHEA Grapalat"/>
                <w:lang w:val="af-ZA"/>
              </w:rPr>
              <w:t xml:space="preserve"> </w:t>
            </w:r>
            <w:r w:rsidRPr="00E628D7">
              <w:rPr>
                <w:rFonts w:ascii="GHEA Grapalat" w:hAnsi="GHEA Grapalat" w:cs="Sylfaen"/>
                <w:lang w:val="af-ZA"/>
              </w:rPr>
              <w:t>սահմանել</w:t>
            </w:r>
            <w:r w:rsidRPr="00E628D7">
              <w:rPr>
                <w:rFonts w:ascii="GHEA Grapalat" w:hAnsi="GHEA Grapalat"/>
                <w:lang w:val="af-ZA"/>
              </w:rPr>
              <w:t xml:space="preserve"> </w:t>
            </w:r>
            <w:r w:rsidRPr="00E628D7">
              <w:rPr>
                <w:rFonts w:ascii="GHEA Grapalat" w:hAnsi="GHEA Grapalat" w:cs="Sylfaen"/>
                <w:lang w:val="af-ZA"/>
              </w:rPr>
              <w:t>Կենտրոնական</w:t>
            </w:r>
            <w:r w:rsidRPr="00E628D7">
              <w:rPr>
                <w:rFonts w:ascii="GHEA Grapalat" w:hAnsi="GHEA Grapalat"/>
                <w:lang w:val="af-ZA"/>
              </w:rPr>
              <w:t xml:space="preserve"> </w:t>
            </w:r>
            <w:r w:rsidRPr="00E628D7">
              <w:rPr>
                <w:rFonts w:ascii="GHEA Grapalat" w:hAnsi="GHEA Grapalat" w:cs="Sylfaen"/>
                <w:lang w:val="af-ZA"/>
              </w:rPr>
              <w:t>բանկի</w:t>
            </w:r>
            <w:r w:rsidRPr="00E628D7">
              <w:rPr>
                <w:rFonts w:ascii="GHEA Grapalat" w:hAnsi="GHEA Grapalat"/>
                <w:lang w:val="af-ZA"/>
              </w:rPr>
              <w:t xml:space="preserve"> </w:t>
            </w:r>
            <w:r w:rsidRPr="00E628D7">
              <w:rPr>
                <w:rFonts w:ascii="GHEA Grapalat" w:hAnsi="GHEA Grapalat" w:cs="Sylfaen"/>
                <w:lang w:val="af-ZA"/>
              </w:rPr>
              <w:t>նորմատիվ</w:t>
            </w:r>
            <w:r w:rsidRPr="00E628D7">
              <w:rPr>
                <w:rFonts w:ascii="GHEA Grapalat" w:hAnsi="GHEA Grapalat"/>
                <w:lang w:val="af-ZA"/>
              </w:rPr>
              <w:t xml:space="preserve"> </w:t>
            </w:r>
            <w:r w:rsidRPr="00E628D7">
              <w:rPr>
                <w:rFonts w:ascii="GHEA Grapalat" w:hAnsi="GHEA Grapalat" w:cs="Sylfaen"/>
                <w:lang w:val="af-ZA"/>
              </w:rPr>
              <w:t>իրավական</w:t>
            </w:r>
            <w:r w:rsidRPr="00E628D7">
              <w:rPr>
                <w:rFonts w:ascii="GHEA Grapalat" w:hAnsi="GHEA Grapalat"/>
                <w:lang w:val="af-ZA"/>
              </w:rPr>
              <w:t xml:space="preserve"> </w:t>
            </w:r>
            <w:r w:rsidRPr="00E628D7">
              <w:rPr>
                <w:rFonts w:ascii="GHEA Grapalat" w:hAnsi="GHEA Grapalat" w:cs="Sylfaen"/>
                <w:lang w:val="af-ZA"/>
              </w:rPr>
              <w:t>ակտերով</w:t>
            </w:r>
            <w:r w:rsidRPr="00E628D7">
              <w:rPr>
                <w:rFonts w:ascii="GHEA Grapalat" w:hAnsi="GHEA Grapalat"/>
                <w:lang w:val="af-ZA"/>
              </w:rPr>
              <w:t xml:space="preserve"> </w:t>
            </w:r>
            <w:r w:rsidRPr="00E628D7">
              <w:rPr>
                <w:rFonts w:ascii="GHEA Grapalat" w:hAnsi="GHEA Grapalat" w:cs="Sylfaen"/>
                <w:lang w:val="af-ZA"/>
              </w:rPr>
              <w:t>սահմանված</w:t>
            </w:r>
            <w:r w:rsidRPr="00E628D7">
              <w:rPr>
                <w:rFonts w:ascii="GHEA Grapalat" w:hAnsi="GHEA Grapalat"/>
                <w:lang w:val="af-ZA"/>
              </w:rPr>
              <w:t xml:space="preserve"> </w:t>
            </w:r>
            <w:r w:rsidRPr="00E628D7">
              <w:rPr>
                <w:rFonts w:ascii="GHEA Grapalat" w:hAnsi="GHEA Grapalat" w:cs="Sylfaen"/>
                <w:lang w:val="af-ZA"/>
              </w:rPr>
              <w:t>դեպքերում</w:t>
            </w:r>
            <w:r w:rsidRPr="00E628D7">
              <w:rPr>
                <w:rFonts w:ascii="GHEA Grapalat" w:hAnsi="GHEA Grapalat"/>
                <w:lang w:val="af-ZA"/>
              </w:rPr>
              <w:t xml:space="preserve"> </w:t>
            </w:r>
            <w:r w:rsidRPr="00E628D7">
              <w:rPr>
                <w:rFonts w:ascii="GHEA Grapalat" w:hAnsi="GHEA Grapalat" w:cs="Sylfaen"/>
                <w:lang w:val="af-ZA"/>
              </w:rPr>
              <w:t>և</w:t>
            </w:r>
            <w:r w:rsidRPr="00E628D7">
              <w:rPr>
                <w:rFonts w:ascii="GHEA Grapalat" w:hAnsi="GHEA Grapalat"/>
                <w:lang w:val="af-ZA"/>
              </w:rPr>
              <w:t xml:space="preserve"> </w:t>
            </w:r>
            <w:r w:rsidRPr="00E628D7">
              <w:rPr>
                <w:rFonts w:ascii="GHEA Grapalat" w:hAnsi="GHEA Grapalat" w:cs="Sylfaen"/>
                <w:lang w:val="af-ZA"/>
              </w:rPr>
              <w:t>կարգով</w:t>
            </w:r>
            <w:r w:rsidRPr="00E628D7">
              <w:rPr>
                <w:rFonts w:ascii="GHEA Grapalat" w:hAnsi="GHEA Grapalat"/>
                <w:lang w:val="af-ZA"/>
              </w:rPr>
              <w:t xml:space="preserve"> </w:t>
            </w:r>
            <w:r w:rsidRPr="00E628D7">
              <w:rPr>
                <w:rFonts w:ascii="GHEA Grapalat" w:hAnsi="GHEA Grapalat" w:cs="Sylfaen"/>
                <w:lang w:val="af-ZA"/>
              </w:rPr>
              <w:t>Խորհրդի</w:t>
            </w:r>
            <w:r w:rsidRPr="00E628D7">
              <w:rPr>
                <w:rFonts w:ascii="GHEA Grapalat" w:hAnsi="GHEA Grapalat"/>
                <w:lang w:val="af-ZA"/>
              </w:rPr>
              <w:t xml:space="preserve"> </w:t>
            </w:r>
            <w:r w:rsidRPr="00E628D7">
              <w:rPr>
                <w:rFonts w:ascii="GHEA Grapalat" w:hAnsi="GHEA Grapalat" w:cs="Sylfaen"/>
                <w:lang w:val="af-ZA"/>
              </w:rPr>
              <w:t>բացառիկ</w:t>
            </w:r>
            <w:r w:rsidRPr="00E628D7">
              <w:rPr>
                <w:rFonts w:ascii="GHEA Grapalat" w:hAnsi="GHEA Grapalat"/>
                <w:lang w:val="af-ZA"/>
              </w:rPr>
              <w:t xml:space="preserve"> </w:t>
            </w:r>
            <w:r w:rsidRPr="00E628D7">
              <w:rPr>
                <w:rFonts w:ascii="GHEA Grapalat" w:hAnsi="GHEA Grapalat" w:cs="Sylfaen"/>
                <w:lang w:val="af-ZA"/>
              </w:rPr>
              <w:t>իրավասությունները</w:t>
            </w:r>
            <w:r w:rsidRPr="00E628D7">
              <w:rPr>
                <w:rFonts w:ascii="GHEA Grapalat" w:hAnsi="GHEA Grapalat"/>
                <w:lang w:val="af-ZA"/>
              </w:rPr>
              <w:t xml:space="preserve"> </w:t>
            </w:r>
            <w:r w:rsidRPr="00E628D7">
              <w:rPr>
                <w:rFonts w:ascii="GHEA Grapalat" w:hAnsi="GHEA Grapalat" w:cs="Sylfaen"/>
                <w:lang w:val="af-ZA"/>
              </w:rPr>
              <w:t>Խորհրդին</w:t>
            </w:r>
            <w:r w:rsidRPr="00E628D7">
              <w:rPr>
                <w:rFonts w:ascii="GHEA Grapalat" w:hAnsi="GHEA Grapalat"/>
                <w:lang w:val="af-ZA"/>
              </w:rPr>
              <w:t xml:space="preserve"> </w:t>
            </w:r>
            <w:r w:rsidRPr="00E628D7">
              <w:rPr>
                <w:rFonts w:ascii="GHEA Grapalat" w:hAnsi="GHEA Grapalat" w:cs="Sylfaen"/>
                <w:lang w:val="af-ZA"/>
              </w:rPr>
              <w:t>կից</w:t>
            </w:r>
            <w:r w:rsidRPr="00E628D7">
              <w:rPr>
                <w:rFonts w:ascii="GHEA Grapalat" w:hAnsi="GHEA Grapalat"/>
                <w:lang w:val="af-ZA"/>
              </w:rPr>
              <w:t xml:space="preserve"> </w:t>
            </w:r>
            <w:r w:rsidRPr="00E628D7">
              <w:rPr>
                <w:rFonts w:ascii="GHEA Grapalat" w:hAnsi="GHEA Grapalat" w:cs="Sylfaen"/>
                <w:lang w:val="af-ZA"/>
              </w:rPr>
              <w:t>ստեղծված</w:t>
            </w:r>
            <w:r w:rsidRPr="00E628D7">
              <w:rPr>
                <w:rFonts w:ascii="GHEA Grapalat" w:hAnsi="GHEA Grapalat"/>
                <w:lang w:val="af-ZA"/>
              </w:rPr>
              <w:t xml:space="preserve"> </w:t>
            </w:r>
            <w:r w:rsidRPr="00E628D7">
              <w:rPr>
                <w:rFonts w:ascii="GHEA Grapalat" w:hAnsi="GHEA Grapalat" w:cs="Sylfaen"/>
                <w:lang w:val="af-ZA"/>
              </w:rPr>
              <w:t>հանձնաժողովներին</w:t>
            </w:r>
            <w:r w:rsidRPr="00E628D7">
              <w:rPr>
                <w:rFonts w:ascii="GHEA Grapalat" w:hAnsi="GHEA Grapalat"/>
                <w:lang w:val="af-ZA"/>
              </w:rPr>
              <w:t xml:space="preserve"> </w:t>
            </w:r>
            <w:r w:rsidRPr="00E628D7">
              <w:rPr>
                <w:rFonts w:ascii="GHEA Grapalat" w:hAnsi="GHEA Grapalat" w:cs="Sylfaen"/>
                <w:lang w:val="af-ZA"/>
              </w:rPr>
              <w:t>փոխանցելու</w:t>
            </w:r>
            <w:r w:rsidRPr="00E628D7">
              <w:rPr>
                <w:rFonts w:ascii="GHEA Grapalat" w:hAnsi="GHEA Grapalat"/>
                <w:lang w:val="af-ZA"/>
              </w:rPr>
              <w:t xml:space="preserve"> </w:t>
            </w:r>
            <w:r w:rsidRPr="00E628D7">
              <w:rPr>
                <w:rFonts w:ascii="GHEA Grapalat" w:hAnsi="GHEA Grapalat" w:cs="Sylfaen"/>
                <w:lang w:val="af-ZA"/>
              </w:rPr>
              <w:t>հնարավորություն</w:t>
            </w:r>
            <w:r w:rsidRPr="00E628D7">
              <w:rPr>
                <w:rFonts w:ascii="GHEA Grapalat" w:hAnsi="GHEA Grapalat"/>
                <w:lang w:val="af-ZA"/>
              </w:rPr>
              <w:t>:</w:t>
            </w:r>
          </w:p>
          <w:p w:rsidR="00341C7A" w:rsidRPr="00E628D7" w:rsidRDefault="00341C7A" w:rsidP="00341C7A">
            <w:pPr>
              <w:spacing w:line="360" w:lineRule="auto"/>
              <w:ind w:firstLine="708"/>
              <w:jc w:val="both"/>
              <w:rPr>
                <w:lang w:val="af-ZA"/>
              </w:rPr>
            </w:pPr>
            <w:r w:rsidRPr="00E628D7">
              <w:rPr>
                <w:lang w:val="af-ZA"/>
              </w:rPr>
              <w:t>Հարկ է նշել, որ Օրենքի 31-րդ հոդվածի 1-ին մասի համաձայն` խորհրդին կից հանձնաժողովները ստեղծվում են Խորհրդի աշխատանքն արդյունավետ կազմակերպելու նպատակով:</w:t>
            </w:r>
          </w:p>
          <w:p w:rsidR="00341C7A" w:rsidRPr="00E628D7" w:rsidRDefault="00341C7A" w:rsidP="00341C7A">
            <w:pPr>
              <w:spacing w:line="360" w:lineRule="auto"/>
              <w:ind w:firstLine="708"/>
              <w:jc w:val="both"/>
              <w:rPr>
                <w:i/>
                <w:lang w:val="af-ZA"/>
              </w:rPr>
            </w:pPr>
            <w:r w:rsidRPr="00E628D7">
              <w:rPr>
                <w:lang w:val="af-ZA"/>
              </w:rPr>
              <w:t xml:space="preserve">Նույն հոդվածի 2-րդ մասի համաձայն` Խորհրդին կից հանձնաժողովների կազմում կարող են ընդգրկվել Խորհրդի անդամները և </w:t>
            </w:r>
            <w:r w:rsidRPr="00E628D7">
              <w:rPr>
                <w:i/>
                <w:lang w:val="af-ZA"/>
              </w:rPr>
              <w:t>Ընկերության այլ ղեկավարներ կամ աշխատակիցներ:</w:t>
            </w:r>
          </w:p>
          <w:p w:rsidR="00341C7A" w:rsidRPr="00E628D7" w:rsidRDefault="00341C7A" w:rsidP="00341C7A">
            <w:pPr>
              <w:spacing w:line="360" w:lineRule="auto"/>
              <w:ind w:firstLine="708"/>
              <w:jc w:val="both"/>
              <w:rPr>
                <w:lang w:val="af-ZA"/>
              </w:rPr>
            </w:pPr>
            <w:r w:rsidRPr="00E628D7">
              <w:rPr>
                <w:lang w:val="af-ZA"/>
              </w:rPr>
              <w:t xml:space="preserve">Օրենքի վերոնշյալ դրույթների վերլուծությունից բխում է, որ Խորհրդին կից հանձնաժողովները, ստեղծվելով սոսկ Ընկերության աշխատանքի արդյունավետ կազմակերպումն </w:t>
            </w:r>
            <w:r w:rsidRPr="00E628D7">
              <w:rPr>
                <w:lang w:val="af-ZA"/>
              </w:rPr>
              <w:lastRenderedPageBreak/>
              <w:t>ապահովելու նպատակով, իրենց կազմում բացի Խորհրդի անդամներից կարող են ընդգրկել ընկերության այլ ղեկավարների ու աշխատակիցների, օրինակ` գործադիր տնօրենին, պատասխանատու ակտուարին, ներքին աուդիտի ղեկավարին և այլն:</w:t>
            </w:r>
          </w:p>
          <w:p w:rsidR="00341C7A" w:rsidRPr="00E628D7" w:rsidRDefault="00341C7A" w:rsidP="00341C7A">
            <w:pPr>
              <w:spacing w:line="360" w:lineRule="auto"/>
              <w:ind w:firstLine="708"/>
              <w:jc w:val="both"/>
              <w:rPr>
                <w:lang w:val="af-ZA"/>
              </w:rPr>
            </w:pPr>
            <w:r w:rsidRPr="00E628D7">
              <w:rPr>
                <w:lang w:val="af-ZA"/>
              </w:rPr>
              <w:t>Այս առումով գտնում ենք, որ Խորհրդի բացառիկ իրավասությանը վերապահված հարցերի վերաբերյալ կից հանձնաժողովների կողմից որոշման կայացումն այն պարագայում, երբ նրա կազմում ընդգրկված են Խորհրդի անդամ չհանդիսացող անձինք, չի բխում ընկերության կառավարման մարմինների և ղեկավարների լիազորությունների տարանջատման սկզբունքից:</w:t>
            </w:r>
          </w:p>
          <w:p w:rsidR="00DD2AEB" w:rsidRPr="00E628D7" w:rsidRDefault="00341C7A" w:rsidP="00341C7A">
            <w:pPr>
              <w:spacing w:line="360" w:lineRule="auto"/>
              <w:ind w:firstLine="708"/>
              <w:jc w:val="both"/>
              <w:rPr>
                <w:lang w:val="af-ZA"/>
              </w:rPr>
            </w:pPr>
            <w:r w:rsidRPr="00E628D7">
              <w:rPr>
                <w:lang w:val="af-ZA"/>
              </w:rPr>
              <w:t xml:space="preserve">Օրենքի 29-րդ հոդվածի 1-ին մասում թվարկված հարցերի կապակցությամբ որոշում ընդունելու բացառիկ իրավասությունը Խորհրդին վերապահելն ինքնանպատակ չէ. դա պայմանավորված է Ընկերության գործունեության համար վերոնշյալ հարցերի բացառիկ կարևորությամբ, ուստի դրանց վերաբերյալ որոշում ընդունելու իրավունքն Ընկերության ցանկացած </w:t>
            </w:r>
            <w:r w:rsidRPr="00E628D7">
              <w:rPr>
                <w:lang w:val="af-ZA"/>
              </w:rPr>
              <w:lastRenderedPageBreak/>
              <w:t>աշխատակիցներից բաղկացած հանձնաժողովներին վերապահելը խնդրահարույց է:</w:t>
            </w:r>
          </w:p>
        </w:tc>
        <w:tc>
          <w:tcPr>
            <w:tcW w:w="3438" w:type="dxa"/>
          </w:tcPr>
          <w:p w:rsidR="00DD2AEB" w:rsidRPr="00E628D7" w:rsidRDefault="00341C7A" w:rsidP="0033587E">
            <w:pPr>
              <w:rPr>
                <w:sz w:val="24"/>
                <w:szCs w:val="24"/>
              </w:rPr>
            </w:pPr>
            <w:r w:rsidRPr="00E628D7">
              <w:rPr>
                <w:sz w:val="24"/>
                <w:szCs w:val="24"/>
              </w:rPr>
              <w:lastRenderedPageBreak/>
              <w:t xml:space="preserve">Ընդունելի է: Այդ փոփոխությունը հանվել է Նախագծից: </w:t>
            </w:r>
          </w:p>
        </w:tc>
      </w:tr>
      <w:tr w:rsidR="00341C7A" w:rsidRPr="00E628D7" w:rsidTr="0024664B">
        <w:tc>
          <w:tcPr>
            <w:tcW w:w="648" w:type="dxa"/>
          </w:tcPr>
          <w:p w:rsidR="00341C7A" w:rsidRPr="00E628D7" w:rsidRDefault="00341C7A" w:rsidP="0024664B">
            <w:pPr>
              <w:jc w:val="center"/>
              <w:rPr>
                <w:sz w:val="24"/>
                <w:szCs w:val="24"/>
              </w:rPr>
            </w:pPr>
          </w:p>
        </w:tc>
        <w:tc>
          <w:tcPr>
            <w:tcW w:w="3420" w:type="dxa"/>
          </w:tcPr>
          <w:p w:rsidR="00341C7A" w:rsidRPr="00E628D7" w:rsidRDefault="00341C7A" w:rsidP="0024664B">
            <w:pPr>
              <w:jc w:val="center"/>
              <w:rPr>
                <w:sz w:val="24"/>
                <w:szCs w:val="24"/>
              </w:rPr>
            </w:pPr>
          </w:p>
        </w:tc>
        <w:tc>
          <w:tcPr>
            <w:tcW w:w="5670" w:type="dxa"/>
          </w:tcPr>
          <w:p w:rsidR="00341C7A" w:rsidRPr="00E628D7" w:rsidRDefault="00341C7A" w:rsidP="00995A02">
            <w:pPr>
              <w:pStyle w:val="ListParagraph"/>
              <w:numPr>
                <w:ilvl w:val="0"/>
                <w:numId w:val="2"/>
              </w:numPr>
              <w:spacing w:line="360" w:lineRule="auto"/>
              <w:jc w:val="both"/>
              <w:rPr>
                <w:rFonts w:ascii="GHEA Grapalat" w:hAnsi="GHEA Grapalat" w:cs="Sylfaen"/>
                <w:color w:val="000000"/>
                <w:lang w:val="af-ZA"/>
              </w:rPr>
            </w:pPr>
            <w:r w:rsidRPr="00E628D7">
              <w:rPr>
                <w:rFonts w:ascii="GHEA Grapalat" w:hAnsi="GHEA Grapalat" w:cs="Sylfaen"/>
                <w:color w:val="000000"/>
                <w:lang w:val="af-ZA"/>
              </w:rPr>
              <w:t xml:space="preserve">Նախագծի 14-րդ հոդվածում օգտագործվող «այլ անձանց» եզրույթն անորոշ է և ունի հստակեցման կարիք` հաշվի առնելով այն հանգամանքը, որ Օրենքի համապատասխան հոդվածը վերաբերում է ապահովագրողների, վերաապահովագրողների, ապահովագրական միջնորդների, բյուրոյի և Կենտրոնական բանկի միջև </w:t>
            </w:r>
            <w:r w:rsidRPr="00E628D7">
              <w:rPr>
                <w:rFonts w:ascii="GHEA Grapalat" w:hAnsi="GHEA Grapalat" w:cs="Sylfaen"/>
                <w:b/>
                <w:i/>
                <w:color w:val="000000"/>
                <w:lang w:val="af-ZA"/>
              </w:rPr>
              <w:t>հաճախորդների</w:t>
            </w:r>
            <w:r w:rsidRPr="00E628D7">
              <w:rPr>
                <w:rFonts w:ascii="GHEA Grapalat" w:hAnsi="GHEA Grapalat" w:cs="Sylfaen"/>
                <w:color w:val="000000"/>
                <w:lang w:val="af-ZA"/>
              </w:rPr>
              <w:t xml:space="preserve"> վերաբերյալ տեղեկությունների շրջանառությանը:</w:t>
            </w:r>
          </w:p>
        </w:tc>
        <w:tc>
          <w:tcPr>
            <w:tcW w:w="3438" w:type="dxa"/>
          </w:tcPr>
          <w:p w:rsidR="00341C7A" w:rsidRPr="00E628D7" w:rsidRDefault="00341C7A" w:rsidP="0033587E">
            <w:pPr>
              <w:rPr>
                <w:sz w:val="24"/>
                <w:szCs w:val="24"/>
              </w:rPr>
            </w:pPr>
            <w:r w:rsidRPr="00E628D7">
              <w:rPr>
                <w:sz w:val="24"/>
                <w:szCs w:val="24"/>
              </w:rPr>
              <w:t>Ընդունելի է: Այդ փոփոխությունը հանվել է Նախագծից:</w:t>
            </w:r>
          </w:p>
        </w:tc>
      </w:tr>
      <w:tr w:rsidR="00341C7A" w:rsidRPr="00E628D7" w:rsidTr="0024664B">
        <w:tc>
          <w:tcPr>
            <w:tcW w:w="648" w:type="dxa"/>
          </w:tcPr>
          <w:p w:rsidR="00341C7A" w:rsidRPr="00E628D7" w:rsidRDefault="00341C7A" w:rsidP="0024664B">
            <w:pPr>
              <w:jc w:val="center"/>
              <w:rPr>
                <w:sz w:val="24"/>
                <w:szCs w:val="24"/>
              </w:rPr>
            </w:pPr>
          </w:p>
        </w:tc>
        <w:tc>
          <w:tcPr>
            <w:tcW w:w="3420" w:type="dxa"/>
          </w:tcPr>
          <w:p w:rsidR="00341C7A" w:rsidRPr="00E628D7" w:rsidRDefault="00341C7A" w:rsidP="0024664B">
            <w:pPr>
              <w:jc w:val="center"/>
              <w:rPr>
                <w:sz w:val="24"/>
                <w:szCs w:val="24"/>
              </w:rPr>
            </w:pPr>
          </w:p>
        </w:tc>
        <w:tc>
          <w:tcPr>
            <w:tcW w:w="5670" w:type="dxa"/>
          </w:tcPr>
          <w:p w:rsidR="00341C7A" w:rsidRPr="00E628D7" w:rsidRDefault="00341C7A" w:rsidP="00995A02">
            <w:pPr>
              <w:pStyle w:val="ListParagraph"/>
              <w:numPr>
                <w:ilvl w:val="0"/>
                <w:numId w:val="2"/>
              </w:numPr>
              <w:spacing w:line="360" w:lineRule="auto"/>
              <w:jc w:val="both"/>
              <w:rPr>
                <w:rFonts w:ascii="GHEA Grapalat" w:hAnsi="GHEA Grapalat" w:cs="Sylfaen"/>
                <w:color w:val="000000"/>
                <w:lang w:val="af-ZA"/>
              </w:rPr>
            </w:pPr>
            <w:r w:rsidRPr="00E628D7">
              <w:rPr>
                <w:rFonts w:ascii="GHEA Grapalat" w:hAnsi="GHEA Grapalat" w:cs="Sylfaen"/>
                <w:color w:val="000000"/>
                <w:lang w:val="af-ZA"/>
              </w:rPr>
              <w:t xml:space="preserve">Նախագծի 15-րդ հոդվածով նախատեսվող կարգավորման կապակցությամբ գտնում ենք, որ հոդվածում նախատեսվող դրույթն առ այն, որ ապահովագրական պորտֆելի փոխանցման դիմումը բավարարելու կամ մերժելու մասին որոշում կայացնելիս Կենտրոնական բանկը </w:t>
            </w:r>
            <w:r w:rsidRPr="00E628D7">
              <w:rPr>
                <w:rFonts w:ascii="GHEA Grapalat" w:hAnsi="GHEA Grapalat" w:cs="Sylfaen"/>
                <w:i/>
                <w:color w:val="000000"/>
                <w:lang w:val="af-ZA"/>
              </w:rPr>
              <w:t>հաշվի է առնում</w:t>
            </w:r>
            <w:r w:rsidRPr="00E628D7">
              <w:rPr>
                <w:rFonts w:ascii="GHEA Grapalat" w:hAnsi="GHEA Grapalat" w:cs="Sylfaen"/>
                <w:color w:val="000000"/>
                <w:lang w:val="af-ZA"/>
              </w:rPr>
              <w:t xml:space="preserve"> նաև ապահովագրական պորտֆելի </w:t>
            </w:r>
            <w:r w:rsidRPr="00E628D7">
              <w:rPr>
                <w:rFonts w:ascii="GHEA Grapalat" w:hAnsi="GHEA Grapalat" w:cs="Sylfaen"/>
                <w:color w:val="000000"/>
                <w:lang w:val="af-ZA"/>
              </w:rPr>
              <w:lastRenderedPageBreak/>
              <w:t xml:space="preserve">փոխանցման վերաբերյալ ապահովադիրներից ստացված առարկությունները, հնարավորություն չի տալիս հասկանալու առարկություններ ներկայացնելու կոնկրետ իրավական հետևանքը, մասնավորապես այն, թե արդյոք ապահովադրի կողմից առարկություն ներկայացնելը կարող է համարվել ապահովագրական պորտֆելի փոխանցման դիմումը մերժելու միանշանակ հիմք, թե` ոչ: Այս առումով գտնում ենք, որ անհրաժեշտ է հստակ սահմանել ապահովադրի կողմից առարկություն ներկայացնելու դեպքում ապահովագրական պորտֆելի փոխանցման դիմումը մերժելու իրավական հիմքերը: </w:t>
            </w:r>
          </w:p>
        </w:tc>
        <w:tc>
          <w:tcPr>
            <w:tcW w:w="3438" w:type="dxa"/>
          </w:tcPr>
          <w:p w:rsidR="00F3371F" w:rsidRPr="00E628D7" w:rsidRDefault="00341C7A" w:rsidP="0033587E">
            <w:pPr>
              <w:rPr>
                <w:sz w:val="24"/>
                <w:szCs w:val="24"/>
              </w:rPr>
            </w:pPr>
            <w:r w:rsidRPr="00E628D7">
              <w:rPr>
                <w:sz w:val="24"/>
                <w:szCs w:val="24"/>
              </w:rPr>
              <w:lastRenderedPageBreak/>
              <w:t xml:space="preserve">Ընդունելի է: </w:t>
            </w:r>
            <w:r w:rsidR="00F3371F" w:rsidRPr="00E628D7">
              <w:rPr>
                <w:sz w:val="24"/>
                <w:szCs w:val="24"/>
              </w:rPr>
              <w:t xml:space="preserve">Նշված դրույթը հստակեցվել է հետևյալ կերպ՝ </w:t>
            </w:r>
          </w:p>
          <w:p w:rsidR="00341C7A" w:rsidRPr="00E628D7" w:rsidRDefault="00F3371F" w:rsidP="0033587E">
            <w:pPr>
              <w:rPr>
                <w:sz w:val="24"/>
                <w:szCs w:val="24"/>
              </w:rPr>
            </w:pPr>
            <w:r w:rsidRPr="00E628D7">
              <w:rPr>
                <w:rFonts w:eastAsia="Times New Roman" w:cs="Times New Roman"/>
                <w:sz w:val="24"/>
                <w:szCs w:val="24"/>
                <w:lang w:val="af-ZA"/>
              </w:rPr>
              <w:t xml:space="preserve">Կենտրոնական բանկը կյանքի ապահովագրություն իրականացնող Ընկերության ապահովագրական պորտֆելի փոխանցման դիմումը բավարարում կամ մերժում է սույն հոդվածի 1.1 մասով սահմանված </w:t>
            </w:r>
            <w:r w:rsidRPr="00E628D7">
              <w:rPr>
                <w:rFonts w:eastAsia="Times New Roman" w:cs="Times New Roman"/>
                <w:sz w:val="24"/>
                <w:szCs w:val="24"/>
                <w:lang w:val="af-ZA"/>
              </w:rPr>
              <w:lastRenderedPageBreak/>
              <w:t>երկամսյա ժամկետի ավարտից հետո՝ 30-օրյա ժամկետում: Սույն որոշ</w:t>
            </w:r>
            <w:r w:rsidRPr="00E628D7">
              <w:rPr>
                <w:rFonts w:eastAsia="Times New Roman" w:cs="Times New Roman"/>
                <w:sz w:val="24"/>
                <w:szCs w:val="24"/>
                <w:lang w:val="hy-AM"/>
              </w:rPr>
              <w:t xml:space="preserve">մամբ </w:t>
            </w:r>
            <w:r w:rsidRPr="00E628D7">
              <w:rPr>
                <w:rFonts w:eastAsia="Times New Roman" w:cs="Times New Roman"/>
                <w:sz w:val="24"/>
                <w:szCs w:val="24"/>
                <w:lang w:val="af-ZA"/>
              </w:rPr>
              <w:t xml:space="preserve">Կենտրոնական բանկը </w:t>
            </w:r>
            <w:r w:rsidRPr="00E628D7">
              <w:rPr>
                <w:rFonts w:eastAsia="Times New Roman" w:cs="Times New Roman"/>
                <w:sz w:val="24"/>
                <w:szCs w:val="24"/>
                <w:lang w:val="hy-AM"/>
              </w:rPr>
              <w:t xml:space="preserve">անդրադառնում է </w:t>
            </w:r>
            <w:r w:rsidRPr="00E628D7">
              <w:rPr>
                <w:rFonts w:eastAsia="Times New Roman" w:cs="Times New Roman"/>
                <w:sz w:val="24"/>
                <w:szCs w:val="24"/>
                <w:lang w:val="af-ZA"/>
              </w:rPr>
              <w:t xml:space="preserve"> նաև ապահովագրական պորտֆելի փոխանցման վերաբերյալ ապահովադիրներից ստացված առարկություններ</w:t>
            </w:r>
            <w:r w:rsidRPr="00E628D7">
              <w:rPr>
                <w:rFonts w:eastAsia="Times New Roman" w:cs="Times New Roman"/>
                <w:sz w:val="24"/>
                <w:szCs w:val="24"/>
                <w:lang w:val="hy-AM"/>
              </w:rPr>
              <w:t>ին</w:t>
            </w:r>
            <w:r w:rsidRPr="00E628D7">
              <w:rPr>
                <w:rFonts w:eastAsia="Times New Roman" w:cs="Times New Roman"/>
                <w:sz w:val="24"/>
                <w:szCs w:val="24"/>
                <w:lang w:val="af-ZA"/>
              </w:rPr>
              <w:t>:»:</w:t>
            </w:r>
          </w:p>
        </w:tc>
      </w:tr>
      <w:tr w:rsidR="00F3371F" w:rsidRPr="00E628D7" w:rsidTr="0024664B">
        <w:tc>
          <w:tcPr>
            <w:tcW w:w="648" w:type="dxa"/>
          </w:tcPr>
          <w:p w:rsidR="00F3371F" w:rsidRPr="00E628D7" w:rsidRDefault="00F3371F" w:rsidP="0024664B">
            <w:pPr>
              <w:jc w:val="center"/>
              <w:rPr>
                <w:sz w:val="24"/>
                <w:szCs w:val="24"/>
              </w:rPr>
            </w:pPr>
          </w:p>
        </w:tc>
        <w:tc>
          <w:tcPr>
            <w:tcW w:w="3420" w:type="dxa"/>
          </w:tcPr>
          <w:p w:rsidR="00F3371F" w:rsidRPr="00E628D7" w:rsidRDefault="00F3371F" w:rsidP="0024664B">
            <w:pPr>
              <w:jc w:val="center"/>
              <w:rPr>
                <w:sz w:val="24"/>
                <w:szCs w:val="24"/>
              </w:rPr>
            </w:pPr>
          </w:p>
        </w:tc>
        <w:tc>
          <w:tcPr>
            <w:tcW w:w="5670" w:type="dxa"/>
          </w:tcPr>
          <w:p w:rsidR="00F3371F" w:rsidRPr="00E628D7" w:rsidRDefault="00F3371F" w:rsidP="00995A02">
            <w:pPr>
              <w:pStyle w:val="ListParagraph"/>
              <w:numPr>
                <w:ilvl w:val="0"/>
                <w:numId w:val="2"/>
              </w:numPr>
              <w:spacing w:line="360" w:lineRule="auto"/>
              <w:jc w:val="both"/>
              <w:rPr>
                <w:rFonts w:ascii="GHEA Grapalat" w:hAnsi="GHEA Grapalat" w:cs="Sylfaen"/>
                <w:color w:val="000000"/>
                <w:lang w:val="af-ZA"/>
              </w:rPr>
            </w:pPr>
            <w:r w:rsidRPr="00E628D7">
              <w:rPr>
                <w:rFonts w:ascii="GHEA Grapalat" w:hAnsi="GHEA Grapalat" w:cs="Sylfaen"/>
                <w:color w:val="000000"/>
                <w:lang w:val="af-ZA"/>
              </w:rPr>
              <w:t xml:space="preserve">Նախագծի 17-րդ հոդվածում «հրապարակման» բառից առաջ անհրաժեշտ է լրացնել «պաշտոնական» բառը` նկատի ունենալով «Իրավական </w:t>
            </w:r>
            <w:r w:rsidRPr="00E628D7">
              <w:rPr>
                <w:rFonts w:ascii="GHEA Grapalat" w:hAnsi="GHEA Grapalat" w:cs="Sylfaen"/>
                <w:color w:val="000000"/>
                <w:lang w:val="af-ZA"/>
              </w:rPr>
              <w:lastRenderedPageBreak/>
              <w:t>ակտերի մասին» ՀՀ օրենքի 46-րդ հոդվածի դրույթները:</w:t>
            </w:r>
          </w:p>
        </w:tc>
        <w:tc>
          <w:tcPr>
            <w:tcW w:w="3438" w:type="dxa"/>
          </w:tcPr>
          <w:p w:rsidR="00F3371F" w:rsidRPr="00E628D7" w:rsidRDefault="00F3371F" w:rsidP="0033587E">
            <w:pPr>
              <w:rPr>
                <w:sz w:val="24"/>
                <w:szCs w:val="24"/>
              </w:rPr>
            </w:pPr>
            <w:r w:rsidRPr="00E628D7">
              <w:rPr>
                <w:sz w:val="24"/>
                <w:szCs w:val="24"/>
              </w:rPr>
              <w:lastRenderedPageBreak/>
              <w:t>Ընդունելի է: Նշված դրույթը խմբագրվել է:</w:t>
            </w:r>
          </w:p>
        </w:tc>
      </w:tr>
      <w:tr w:rsidR="00F3371F" w:rsidRPr="00E628D7" w:rsidTr="0024664B">
        <w:tc>
          <w:tcPr>
            <w:tcW w:w="648" w:type="dxa"/>
          </w:tcPr>
          <w:p w:rsidR="00F3371F" w:rsidRPr="00E628D7" w:rsidRDefault="00F3371F" w:rsidP="0024664B">
            <w:pPr>
              <w:jc w:val="center"/>
              <w:rPr>
                <w:sz w:val="24"/>
                <w:szCs w:val="24"/>
              </w:rPr>
            </w:pPr>
          </w:p>
        </w:tc>
        <w:tc>
          <w:tcPr>
            <w:tcW w:w="3420" w:type="dxa"/>
          </w:tcPr>
          <w:p w:rsidR="00F3371F" w:rsidRPr="00E628D7" w:rsidRDefault="00F3371F" w:rsidP="0024664B">
            <w:pPr>
              <w:jc w:val="center"/>
              <w:rPr>
                <w:sz w:val="24"/>
                <w:szCs w:val="24"/>
              </w:rPr>
            </w:pPr>
          </w:p>
        </w:tc>
        <w:tc>
          <w:tcPr>
            <w:tcW w:w="5670" w:type="dxa"/>
          </w:tcPr>
          <w:p w:rsidR="00F3371F" w:rsidRPr="00E628D7" w:rsidRDefault="00F3371F" w:rsidP="00995A02">
            <w:pPr>
              <w:pStyle w:val="ListParagraph"/>
              <w:numPr>
                <w:ilvl w:val="0"/>
                <w:numId w:val="2"/>
              </w:numPr>
              <w:spacing w:line="360" w:lineRule="auto"/>
              <w:jc w:val="both"/>
              <w:rPr>
                <w:rFonts w:ascii="GHEA Grapalat" w:hAnsi="GHEA Grapalat" w:cs="Sylfaen"/>
                <w:color w:val="000000"/>
                <w:lang w:val="af-ZA"/>
              </w:rPr>
            </w:pPr>
            <w:r w:rsidRPr="00E628D7">
              <w:rPr>
                <w:rFonts w:ascii="GHEA Grapalat" w:hAnsi="GHEA Grapalat" w:cs="Sylfaen"/>
                <w:color w:val="000000"/>
                <w:lang w:val="af-ZA"/>
              </w:rPr>
              <w:t>««Բանկերի և բանկային գործունեության մասին» Հայաստանի Հանրապետության օրենքում փոփոխություններ և լրացումներ կատարելու մասին» Հայաստանի Հանրապետության օրենքի նախագծի (այսուհետ` Նախագիծ) 1-ին և 2-րդ հոդվածներում անհրաժեշտ է հանել «հետևյալ բովանդակությամբ» բառերը` նկատի ունենալով «Իրավական ակտերի մասին» ՀՀ օրենքի 70-րդ հոդվածի դրույթները:</w:t>
            </w:r>
          </w:p>
        </w:tc>
        <w:tc>
          <w:tcPr>
            <w:tcW w:w="3438" w:type="dxa"/>
          </w:tcPr>
          <w:p w:rsidR="00F3371F" w:rsidRPr="00E628D7" w:rsidRDefault="00995A02" w:rsidP="0033587E">
            <w:pPr>
              <w:rPr>
                <w:sz w:val="24"/>
                <w:szCs w:val="24"/>
              </w:rPr>
            </w:pPr>
            <w:r w:rsidRPr="00E628D7">
              <w:rPr>
                <w:sz w:val="24"/>
                <w:szCs w:val="24"/>
              </w:rPr>
              <w:t>Ընդունելի է: Նշված դրույթները խմբագրվել են:</w:t>
            </w:r>
          </w:p>
        </w:tc>
      </w:tr>
      <w:tr w:rsidR="00995A02" w:rsidRPr="00E628D7" w:rsidTr="0024664B">
        <w:tc>
          <w:tcPr>
            <w:tcW w:w="648" w:type="dxa"/>
          </w:tcPr>
          <w:p w:rsidR="00995A02" w:rsidRPr="00E628D7" w:rsidRDefault="00995A02" w:rsidP="0024664B">
            <w:pPr>
              <w:jc w:val="center"/>
              <w:rPr>
                <w:sz w:val="24"/>
                <w:szCs w:val="24"/>
              </w:rPr>
            </w:pPr>
          </w:p>
        </w:tc>
        <w:tc>
          <w:tcPr>
            <w:tcW w:w="3420" w:type="dxa"/>
          </w:tcPr>
          <w:p w:rsidR="00995A02" w:rsidRPr="00E628D7" w:rsidRDefault="00995A02" w:rsidP="0024664B">
            <w:pPr>
              <w:jc w:val="center"/>
              <w:rPr>
                <w:sz w:val="24"/>
                <w:szCs w:val="24"/>
              </w:rPr>
            </w:pPr>
          </w:p>
        </w:tc>
        <w:tc>
          <w:tcPr>
            <w:tcW w:w="5670" w:type="dxa"/>
          </w:tcPr>
          <w:p w:rsidR="00995A02" w:rsidRPr="00E628D7" w:rsidRDefault="00995A02" w:rsidP="00995A02">
            <w:pPr>
              <w:pStyle w:val="ListParagraph"/>
              <w:numPr>
                <w:ilvl w:val="0"/>
                <w:numId w:val="2"/>
              </w:numPr>
              <w:spacing w:line="360" w:lineRule="auto"/>
              <w:jc w:val="both"/>
              <w:rPr>
                <w:rFonts w:ascii="GHEA Grapalat" w:hAnsi="GHEA Grapalat" w:cs="Sylfaen"/>
                <w:bCs/>
                <w:lang w:val="af-ZA"/>
              </w:rPr>
            </w:pPr>
            <w:r w:rsidRPr="00E628D7">
              <w:rPr>
                <w:rFonts w:ascii="GHEA Grapalat" w:hAnsi="GHEA Grapalat" w:cs="Sylfaen"/>
                <w:bCs/>
                <w:lang w:val="af-ZA"/>
              </w:rPr>
              <w:t xml:space="preserve">Նախագծի 1-ին հոդվածով առաջարկվում է Օրենքի 8-րդ հոդվածի 4-րդ մասը շարադրել նոր խմբագրությամբ, համաձայն որի` միևնույն ընտանիքի անդամ կարող են համարվել ամուսինը, ինչպես նաև </w:t>
            </w:r>
            <w:r w:rsidRPr="00E628D7">
              <w:rPr>
                <w:rFonts w:ascii="GHEA Grapalat" w:hAnsi="GHEA Grapalat" w:cs="Sylfaen"/>
                <w:bCs/>
                <w:i/>
                <w:lang w:val="af-ZA"/>
              </w:rPr>
              <w:t>միևնույն հարկի տակ բնակվող</w:t>
            </w:r>
            <w:r w:rsidRPr="00E628D7">
              <w:rPr>
                <w:rFonts w:ascii="GHEA Grapalat" w:hAnsi="GHEA Grapalat" w:cs="Sylfaen"/>
                <w:bCs/>
                <w:lang w:val="af-ZA"/>
              </w:rPr>
              <w:t xml:space="preserve"> կամ </w:t>
            </w:r>
            <w:r w:rsidRPr="00E628D7">
              <w:rPr>
                <w:rFonts w:ascii="GHEA Grapalat" w:hAnsi="GHEA Grapalat" w:cs="Sylfaen"/>
                <w:bCs/>
                <w:i/>
                <w:lang w:val="af-ZA"/>
              </w:rPr>
              <w:t>միևնույն տնտեսությունը վարող</w:t>
            </w:r>
            <w:r w:rsidRPr="00E628D7">
              <w:rPr>
                <w:rFonts w:ascii="GHEA Grapalat" w:hAnsi="GHEA Grapalat" w:cs="Sylfaen"/>
                <w:bCs/>
                <w:lang w:val="af-ZA"/>
              </w:rPr>
              <w:t xml:space="preserve"> ծնողները, 18 տարին լրացած </w:t>
            </w:r>
            <w:r w:rsidRPr="00E628D7">
              <w:rPr>
                <w:rFonts w:ascii="GHEA Grapalat" w:hAnsi="GHEA Grapalat" w:cs="Sylfaen"/>
                <w:bCs/>
                <w:lang w:val="af-ZA"/>
              </w:rPr>
              <w:lastRenderedPageBreak/>
              <w:t>զավակն ու նրա ամուսինը, 18 տարին լրացած ամուսնու զավակը, տատը, պապը, 18 տարին լրացած թոռը, ամուսնու ծնողները, 18 տարին լրացած քույրը և եղբայրը, նրանց ամուսիններն ու 18 տարին լրացած զավակները:</w:t>
            </w:r>
          </w:p>
          <w:p w:rsidR="00995A02" w:rsidRPr="00E628D7" w:rsidRDefault="00995A02" w:rsidP="00995A02">
            <w:pPr>
              <w:spacing w:line="360" w:lineRule="auto"/>
              <w:ind w:firstLine="708"/>
              <w:jc w:val="both"/>
              <w:rPr>
                <w:rFonts w:cs="Sylfaen"/>
                <w:bCs/>
                <w:lang w:val="af-ZA"/>
              </w:rPr>
            </w:pPr>
            <w:r w:rsidRPr="00E628D7">
              <w:rPr>
                <w:rFonts w:cs="Sylfaen"/>
                <w:bCs/>
                <w:lang w:val="af-ZA"/>
              </w:rPr>
              <w:t>Հարկ է նշել, որ գործող խմբագրությամբ Օրենքի 8-րդ հոդվածի 4-րդ մասում թվարկված սուբյեկտները դիտարկվում են միևնույն ընտանիքի անդամներ վերջիններիս միջև առկա ազգակցական կապերի ուժով` անկախ միևնույն հարկի տակ բնակվելու կամ միևնույն տնտեսությունը վարելու հանգամանքներից:</w:t>
            </w:r>
          </w:p>
          <w:p w:rsidR="00995A02" w:rsidRPr="00E628D7" w:rsidRDefault="00995A02" w:rsidP="00995A02">
            <w:pPr>
              <w:spacing w:line="360" w:lineRule="auto"/>
              <w:ind w:firstLine="708"/>
              <w:jc w:val="both"/>
              <w:rPr>
                <w:color w:val="000000"/>
                <w:lang w:val="af-ZA"/>
              </w:rPr>
            </w:pPr>
            <w:r w:rsidRPr="00E628D7">
              <w:rPr>
                <w:rFonts w:cs="Sylfaen"/>
                <w:bCs/>
                <w:lang w:val="af-ZA"/>
              </w:rPr>
              <w:t xml:space="preserve">Այս առումով գտնում ենք, որ հոդվածի 4-րդ մասում թվարկված սուբյեկտներին միևնույն ընտանիքի անդամ համարելը բացառապես վերջիններիս </w:t>
            </w:r>
            <w:r w:rsidRPr="00E628D7">
              <w:rPr>
                <w:rFonts w:cs="Sylfaen"/>
                <w:bCs/>
                <w:i/>
                <w:lang w:val="af-ZA"/>
              </w:rPr>
              <w:t>միևնույն հարկի տակ բնակվելու</w:t>
            </w:r>
            <w:r w:rsidRPr="00E628D7">
              <w:rPr>
                <w:rFonts w:cs="Sylfaen"/>
                <w:bCs/>
                <w:lang w:val="af-ZA"/>
              </w:rPr>
              <w:t xml:space="preserve"> կամ </w:t>
            </w:r>
            <w:r w:rsidRPr="00E628D7">
              <w:rPr>
                <w:rFonts w:cs="Sylfaen"/>
                <w:bCs/>
                <w:i/>
                <w:lang w:val="af-ZA"/>
              </w:rPr>
              <w:t xml:space="preserve">համատեղ տնտեսություն վարելու </w:t>
            </w:r>
            <w:r w:rsidRPr="00E628D7">
              <w:rPr>
                <w:rFonts w:cs="Sylfaen"/>
                <w:bCs/>
                <w:lang w:val="af-ZA"/>
              </w:rPr>
              <w:t>հանգամանքներով պայմանավորելը խնդրահարույց է, քանի որ նշված կարգավորում</w:t>
            </w:r>
            <w:r w:rsidRPr="00E628D7">
              <w:rPr>
                <w:rFonts w:cs="Sylfaen"/>
                <w:bCs/>
                <w:lang w:val="ru-RU"/>
              </w:rPr>
              <w:t>ն</w:t>
            </w:r>
            <w:r w:rsidRPr="00E628D7">
              <w:rPr>
                <w:rFonts w:cs="Sylfaen"/>
                <w:bCs/>
                <w:lang w:val="af-ZA"/>
              </w:rPr>
              <w:t xml:space="preserve"> </w:t>
            </w:r>
            <w:r w:rsidRPr="00E628D7">
              <w:rPr>
                <w:rFonts w:cs="Sylfaen"/>
                <w:bCs/>
                <w:lang w:val="ru-RU"/>
              </w:rPr>
              <w:t>անհարկի</w:t>
            </w:r>
            <w:r w:rsidRPr="00E628D7">
              <w:rPr>
                <w:rFonts w:cs="Sylfaen"/>
                <w:bCs/>
                <w:lang w:val="af-ZA"/>
              </w:rPr>
              <w:t xml:space="preserve"> սահմանափակում է փոխկապակցված անձանց շրջանակը, ինչն իր </w:t>
            </w:r>
            <w:r w:rsidRPr="00E628D7">
              <w:rPr>
                <w:rFonts w:cs="Sylfaen"/>
                <w:bCs/>
                <w:lang w:val="af-ZA"/>
              </w:rPr>
              <w:lastRenderedPageBreak/>
              <w:t>հերթին ընդլայնում է փոխկապակցված անձանց ինստիտուտի հետ կապված հնարավոր ռիսկերը:</w:t>
            </w:r>
          </w:p>
          <w:p w:rsidR="00995A02" w:rsidRPr="00E628D7" w:rsidRDefault="00995A02" w:rsidP="00995A02">
            <w:pPr>
              <w:spacing w:line="360" w:lineRule="auto"/>
              <w:jc w:val="both"/>
              <w:rPr>
                <w:rFonts w:cs="Sylfaen"/>
                <w:bCs/>
                <w:color w:val="000000"/>
                <w:lang w:val="af-ZA"/>
              </w:rPr>
            </w:pPr>
            <w:r w:rsidRPr="00E628D7">
              <w:rPr>
                <w:rFonts w:cs="Sylfaen"/>
                <w:bCs/>
                <w:color w:val="000000"/>
                <w:lang w:val="af-ZA"/>
              </w:rPr>
              <w:t xml:space="preserve">Միևնույն ժամանակ գտնում ենք, որ փոխկապակցված անձ համարվելու համար որպես նախապայման` 18 տարին լրացած լինելու </w:t>
            </w:r>
            <w:r w:rsidRPr="00E628D7">
              <w:rPr>
                <w:rFonts w:cs="Sylfaen"/>
                <w:bCs/>
                <w:color w:val="000000"/>
                <w:lang w:val="ru-RU"/>
              </w:rPr>
              <w:t>պահանջի</w:t>
            </w:r>
            <w:r w:rsidRPr="00E628D7">
              <w:rPr>
                <w:rFonts w:cs="Sylfaen"/>
                <w:bCs/>
                <w:color w:val="000000"/>
                <w:lang w:val="af-ZA"/>
              </w:rPr>
              <w:t xml:space="preserve"> ամրագրումն ունի լրացուցիչ պարզաբանման կարիք: Այսպես, եթե նշված նախապայմանի ամրագրումն ուղղված է հոդվածում թվարկված սուբյեկտների փոխկապակցված անձ համարվելը վերջիններիս գործունակությամբ պայմանավորելուն, ապա նախատեսվող կարգավորման պարագայում </w:t>
            </w:r>
          </w:p>
          <w:p w:rsidR="00995A02" w:rsidRPr="00E628D7" w:rsidRDefault="00995A02" w:rsidP="00995A02">
            <w:pPr>
              <w:pStyle w:val="ListParagraph"/>
              <w:spacing w:line="360" w:lineRule="auto"/>
              <w:ind w:left="1068"/>
              <w:jc w:val="both"/>
              <w:rPr>
                <w:rFonts w:ascii="GHEA Grapalat" w:hAnsi="GHEA Grapalat" w:cstheme="minorBidi"/>
                <w:color w:val="000000"/>
                <w:lang w:val="af-ZA"/>
              </w:rPr>
            </w:pPr>
            <w:r w:rsidRPr="00E628D7">
              <w:rPr>
                <w:rFonts w:ascii="GHEA Grapalat" w:hAnsi="GHEA Grapalat" w:cs="Sylfaen"/>
                <w:bCs/>
                <w:color w:val="000000"/>
                <w:lang w:val="af-ZA"/>
              </w:rPr>
              <w:t>անտեսվում են էմանսիպացիայի ինստիտուտի առանձնահատկությունները:</w:t>
            </w:r>
          </w:p>
        </w:tc>
        <w:tc>
          <w:tcPr>
            <w:tcW w:w="3438" w:type="dxa"/>
          </w:tcPr>
          <w:p w:rsidR="00995A02" w:rsidRPr="00E628D7" w:rsidRDefault="00995A02" w:rsidP="0033587E">
            <w:pPr>
              <w:rPr>
                <w:sz w:val="24"/>
                <w:szCs w:val="24"/>
              </w:rPr>
            </w:pPr>
            <w:r w:rsidRPr="00E628D7">
              <w:rPr>
                <w:sz w:val="24"/>
                <w:szCs w:val="24"/>
              </w:rPr>
              <w:lastRenderedPageBreak/>
              <w:t>Տես 5-րդ կետի 2-րդ ենթակետը:</w:t>
            </w:r>
          </w:p>
        </w:tc>
      </w:tr>
      <w:tr w:rsidR="00995A02" w:rsidRPr="00E628D7" w:rsidTr="0024664B">
        <w:tc>
          <w:tcPr>
            <w:tcW w:w="648" w:type="dxa"/>
          </w:tcPr>
          <w:p w:rsidR="00995A02" w:rsidRPr="00E628D7" w:rsidRDefault="00995A02" w:rsidP="0024664B">
            <w:pPr>
              <w:jc w:val="center"/>
              <w:rPr>
                <w:sz w:val="24"/>
                <w:szCs w:val="24"/>
              </w:rPr>
            </w:pPr>
          </w:p>
        </w:tc>
        <w:tc>
          <w:tcPr>
            <w:tcW w:w="3420" w:type="dxa"/>
          </w:tcPr>
          <w:p w:rsidR="00995A02" w:rsidRPr="00E628D7" w:rsidRDefault="00995A02" w:rsidP="0024664B">
            <w:pPr>
              <w:jc w:val="center"/>
              <w:rPr>
                <w:sz w:val="24"/>
                <w:szCs w:val="24"/>
              </w:rPr>
            </w:pPr>
          </w:p>
        </w:tc>
        <w:tc>
          <w:tcPr>
            <w:tcW w:w="5670" w:type="dxa"/>
          </w:tcPr>
          <w:p w:rsidR="00995A02" w:rsidRPr="00E628D7" w:rsidRDefault="00995A02" w:rsidP="00995A02">
            <w:pPr>
              <w:spacing w:line="360" w:lineRule="auto"/>
              <w:ind w:firstLine="708"/>
              <w:jc w:val="both"/>
              <w:rPr>
                <w:color w:val="000000"/>
                <w:lang w:val="af-ZA"/>
              </w:rPr>
            </w:pPr>
            <w:r w:rsidRPr="00E628D7">
              <w:rPr>
                <w:color w:val="000000"/>
                <w:lang w:val="af-ZA"/>
              </w:rPr>
              <w:t xml:space="preserve">10. </w:t>
            </w:r>
            <w:r w:rsidRPr="00E628D7">
              <w:rPr>
                <w:lang w:val="af-ZA"/>
              </w:rPr>
              <w:t xml:space="preserve">Նախագծի 1-ին հոդվածում «18 տարին լրացած ամուսնու զավակը» բառերն անհրաժեշտ է փոխարինել «ամուսնու` 18 տարին լրացած զավակը բառերով», քանի որ 18 տարին լրացած լինելու պայմանը վերաբերում է ոչ թե ամուսնուն, այլ վերջինիս զավակին: Հիշյալ առաջարկությունը բխում է </w:t>
            </w:r>
            <w:r w:rsidRPr="00E628D7">
              <w:rPr>
                <w:color w:val="000000"/>
                <w:lang w:val="af-ZA"/>
              </w:rPr>
              <w:t>«Իրավական ակտերի մասին» ՀՀ օրենքի 36-րդ հոդվածի պահանջներից:</w:t>
            </w:r>
          </w:p>
          <w:p w:rsidR="00995A02" w:rsidRPr="00E628D7" w:rsidRDefault="00995A02" w:rsidP="00995A02">
            <w:pPr>
              <w:spacing w:line="360" w:lineRule="auto"/>
              <w:ind w:firstLine="708"/>
              <w:jc w:val="both"/>
              <w:rPr>
                <w:rFonts w:cs="Sylfaen"/>
                <w:bCs/>
                <w:lang w:val="af-ZA"/>
              </w:rPr>
            </w:pPr>
          </w:p>
        </w:tc>
        <w:tc>
          <w:tcPr>
            <w:tcW w:w="3438" w:type="dxa"/>
          </w:tcPr>
          <w:p w:rsidR="00995A02" w:rsidRPr="00E628D7" w:rsidRDefault="00995A02" w:rsidP="0033587E">
            <w:pPr>
              <w:rPr>
                <w:sz w:val="24"/>
                <w:szCs w:val="24"/>
              </w:rPr>
            </w:pPr>
            <w:r w:rsidRPr="00E628D7">
              <w:rPr>
                <w:sz w:val="24"/>
                <w:szCs w:val="24"/>
              </w:rPr>
              <w:lastRenderedPageBreak/>
              <w:t>Ընդունվել է:</w:t>
            </w:r>
          </w:p>
        </w:tc>
      </w:tr>
      <w:tr w:rsidR="00995A02" w:rsidRPr="00E628D7" w:rsidTr="0024664B">
        <w:tc>
          <w:tcPr>
            <w:tcW w:w="648" w:type="dxa"/>
          </w:tcPr>
          <w:p w:rsidR="00995A02" w:rsidRPr="00E628D7" w:rsidRDefault="00995A02" w:rsidP="0024664B">
            <w:pPr>
              <w:jc w:val="center"/>
              <w:rPr>
                <w:sz w:val="24"/>
                <w:szCs w:val="24"/>
              </w:rPr>
            </w:pPr>
          </w:p>
        </w:tc>
        <w:tc>
          <w:tcPr>
            <w:tcW w:w="3420" w:type="dxa"/>
          </w:tcPr>
          <w:p w:rsidR="00995A02" w:rsidRPr="00E628D7" w:rsidRDefault="00995A02" w:rsidP="0024664B">
            <w:pPr>
              <w:jc w:val="center"/>
              <w:rPr>
                <w:sz w:val="24"/>
                <w:szCs w:val="24"/>
              </w:rPr>
            </w:pPr>
          </w:p>
        </w:tc>
        <w:tc>
          <w:tcPr>
            <w:tcW w:w="5670" w:type="dxa"/>
          </w:tcPr>
          <w:p w:rsidR="00995A02" w:rsidRPr="00E628D7" w:rsidRDefault="00995A02" w:rsidP="00995A02">
            <w:pPr>
              <w:spacing w:line="360" w:lineRule="auto"/>
              <w:ind w:firstLine="708"/>
              <w:jc w:val="both"/>
              <w:rPr>
                <w:rFonts w:cs="Sylfaen"/>
                <w:color w:val="000000"/>
                <w:lang w:val="af-ZA"/>
              </w:rPr>
            </w:pPr>
            <w:r w:rsidRPr="00E628D7">
              <w:rPr>
                <w:rFonts w:cs="Sylfaen"/>
                <w:color w:val="000000"/>
                <w:lang w:val="af-ZA"/>
              </w:rPr>
              <w:t>11. Նախագծի 3-րդ հոդվածով նախատեսվում է Օրենքի 36-րդ հոդվածը լրացնել 4.1, 4.2 և 4.3 մասերով, ուստի Նախագծի 3-րդ հոդվածի 1-ին նախադասության մեջ «4.1, 4.2» թվերից հետո անհրաժեշտ է լրացնել նաև «4.3» թիվը:</w:t>
            </w:r>
          </w:p>
        </w:tc>
        <w:tc>
          <w:tcPr>
            <w:tcW w:w="3438" w:type="dxa"/>
          </w:tcPr>
          <w:p w:rsidR="00995A02" w:rsidRPr="00E628D7" w:rsidRDefault="00995A02" w:rsidP="0033587E">
            <w:pPr>
              <w:rPr>
                <w:sz w:val="24"/>
                <w:szCs w:val="24"/>
              </w:rPr>
            </w:pPr>
          </w:p>
        </w:tc>
      </w:tr>
      <w:tr w:rsidR="00995A02" w:rsidRPr="00E628D7" w:rsidTr="0024664B">
        <w:tc>
          <w:tcPr>
            <w:tcW w:w="648" w:type="dxa"/>
          </w:tcPr>
          <w:p w:rsidR="00995A02" w:rsidRPr="00E628D7" w:rsidRDefault="00995A02" w:rsidP="0024664B">
            <w:pPr>
              <w:jc w:val="center"/>
              <w:rPr>
                <w:sz w:val="24"/>
                <w:szCs w:val="24"/>
              </w:rPr>
            </w:pPr>
          </w:p>
        </w:tc>
        <w:tc>
          <w:tcPr>
            <w:tcW w:w="3420" w:type="dxa"/>
          </w:tcPr>
          <w:p w:rsidR="00995A02" w:rsidRPr="00E628D7" w:rsidRDefault="00995A02" w:rsidP="0024664B">
            <w:pPr>
              <w:jc w:val="center"/>
              <w:rPr>
                <w:sz w:val="24"/>
                <w:szCs w:val="24"/>
              </w:rPr>
            </w:pPr>
          </w:p>
        </w:tc>
        <w:tc>
          <w:tcPr>
            <w:tcW w:w="5670" w:type="dxa"/>
          </w:tcPr>
          <w:p w:rsidR="00995A02" w:rsidRPr="00E628D7" w:rsidRDefault="00995A02" w:rsidP="00995A02">
            <w:pPr>
              <w:spacing w:line="360" w:lineRule="auto"/>
              <w:ind w:firstLine="708"/>
              <w:jc w:val="both"/>
              <w:rPr>
                <w:rFonts w:cs="Sylfaen"/>
                <w:color w:val="000000"/>
                <w:lang w:val="af-ZA"/>
              </w:rPr>
            </w:pPr>
            <w:r w:rsidRPr="00E628D7">
              <w:rPr>
                <w:rFonts w:cs="Sylfaen"/>
                <w:color w:val="000000"/>
                <w:lang w:val="af-ZA"/>
              </w:rPr>
              <w:t xml:space="preserve">12. Նախագծի 3-րդ հոդվածով նախատեսվում է Օրենքի 36-րդ հոդվածում </w:t>
            </w:r>
            <w:r w:rsidRPr="00E628D7">
              <w:rPr>
                <w:rFonts w:cs="Sylfaen"/>
                <w:color w:val="000000"/>
                <w:lang w:val="ru-RU"/>
              </w:rPr>
              <w:t>ամրագրել</w:t>
            </w:r>
            <w:r w:rsidRPr="00E628D7">
              <w:rPr>
                <w:rFonts w:cs="Sylfaen"/>
                <w:color w:val="000000"/>
                <w:lang w:val="af-ZA"/>
              </w:rPr>
              <w:t xml:space="preserve"> </w:t>
            </w:r>
            <w:r w:rsidRPr="00E628D7">
              <w:rPr>
                <w:rFonts w:cs="Sylfaen"/>
                <w:color w:val="000000"/>
                <w:lang w:val="ru-RU"/>
              </w:rPr>
              <w:t>բանկի</w:t>
            </w:r>
            <w:r w:rsidRPr="00E628D7">
              <w:rPr>
                <w:rFonts w:cs="Sylfaen"/>
                <w:color w:val="000000"/>
                <w:lang w:val="af-ZA"/>
              </w:rPr>
              <w:t xml:space="preserve"> </w:t>
            </w:r>
            <w:r w:rsidRPr="00E628D7">
              <w:rPr>
                <w:rFonts w:cs="Sylfaen"/>
                <w:color w:val="000000"/>
                <w:lang w:val="ru-RU"/>
              </w:rPr>
              <w:t>կողմից</w:t>
            </w:r>
            <w:r w:rsidRPr="00E628D7">
              <w:rPr>
                <w:rFonts w:cs="Sylfaen"/>
                <w:color w:val="000000"/>
                <w:lang w:val="af-ZA"/>
              </w:rPr>
              <w:t xml:space="preserve"> շահութաբաժիններ բաշխելը, այդ թվում` արտոնյալ բաժնետերերին կամ բանկի այլ մասնակիցներին այլ ձևով որևէ եկամուտներ (</w:t>
            </w:r>
            <w:r w:rsidRPr="00E628D7">
              <w:rPr>
                <w:rFonts w:cs="Sylfaen"/>
                <w:color w:val="000000"/>
                <w:lang w:val="ru-RU"/>
              </w:rPr>
              <w:t>հատուցումներ</w:t>
            </w:r>
            <w:r w:rsidRPr="00E628D7">
              <w:rPr>
                <w:rFonts w:cs="Sylfaen"/>
                <w:color w:val="000000"/>
                <w:lang w:val="af-ZA"/>
              </w:rPr>
              <w:t xml:space="preserve">) </w:t>
            </w:r>
            <w:r w:rsidRPr="00E628D7">
              <w:rPr>
                <w:rFonts w:cs="Sylfaen"/>
                <w:color w:val="000000"/>
                <w:lang w:val="ru-RU"/>
              </w:rPr>
              <w:t>վճարելը</w:t>
            </w:r>
            <w:r w:rsidRPr="00E628D7">
              <w:rPr>
                <w:rFonts w:cs="Sylfaen"/>
                <w:color w:val="000000"/>
                <w:lang w:val="af-ZA"/>
              </w:rPr>
              <w:t xml:space="preserve"> </w:t>
            </w:r>
            <w:r w:rsidRPr="00E628D7">
              <w:rPr>
                <w:rFonts w:cs="Sylfaen"/>
                <w:color w:val="000000"/>
                <w:lang w:val="ru-RU"/>
              </w:rPr>
              <w:t>Կենտրոնական</w:t>
            </w:r>
            <w:r w:rsidRPr="00E628D7">
              <w:rPr>
                <w:rFonts w:cs="Sylfaen"/>
                <w:color w:val="000000"/>
                <w:lang w:val="af-ZA"/>
              </w:rPr>
              <w:t xml:space="preserve"> </w:t>
            </w:r>
            <w:r w:rsidRPr="00E628D7">
              <w:rPr>
                <w:rFonts w:cs="Sylfaen"/>
                <w:color w:val="000000"/>
                <w:lang w:val="ru-RU"/>
              </w:rPr>
              <w:t>բանկի</w:t>
            </w:r>
            <w:r w:rsidRPr="00E628D7">
              <w:rPr>
                <w:rFonts w:cs="Sylfaen"/>
                <w:color w:val="000000"/>
                <w:lang w:val="af-ZA"/>
              </w:rPr>
              <w:t xml:space="preserve"> </w:t>
            </w:r>
            <w:r w:rsidRPr="00E628D7">
              <w:rPr>
                <w:rFonts w:cs="Sylfaen"/>
                <w:color w:val="000000"/>
                <w:lang w:val="ru-RU"/>
              </w:rPr>
              <w:t>կողմից</w:t>
            </w:r>
            <w:r w:rsidRPr="00E628D7">
              <w:rPr>
                <w:rFonts w:cs="Sylfaen"/>
                <w:color w:val="000000"/>
                <w:lang w:val="af-ZA"/>
              </w:rPr>
              <w:t xml:space="preserve"> </w:t>
            </w:r>
            <w:r w:rsidRPr="00E628D7">
              <w:rPr>
                <w:rFonts w:cs="Sylfaen"/>
                <w:color w:val="000000"/>
                <w:lang w:val="ru-RU"/>
              </w:rPr>
              <w:t>չթույլատրելու</w:t>
            </w:r>
            <w:r w:rsidRPr="00E628D7">
              <w:rPr>
                <w:rFonts w:cs="Sylfaen"/>
                <w:color w:val="000000"/>
                <w:lang w:val="af-ZA"/>
              </w:rPr>
              <w:t xml:space="preserve"> </w:t>
            </w:r>
            <w:r w:rsidRPr="00E628D7">
              <w:rPr>
                <w:rFonts w:cs="Sylfaen"/>
                <w:color w:val="000000"/>
                <w:lang w:val="ru-RU"/>
              </w:rPr>
              <w:t>կամ</w:t>
            </w:r>
            <w:r w:rsidRPr="00E628D7">
              <w:rPr>
                <w:rFonts w:cs="Sylfaen"/>
                <w:color w:val="000000"/>
                <w:lang w:val="af-ZA"/>
              </w:rPr>
              <w:t xml:space="preserve"> </w:t>
            </w:r>
            <w:r w:rsidRPr="00E628D7">
              <w:rPr>
                <w:rFonts w:cs="Sylfaen"/>
                <w:color w:val="000000"/>
                <w:lang w:val="ru-RU"/>
              </w:rPr>
              <w:t>սահմանափակելու</w:t>
            </w:r>
            <w:r w:rsidRPr="00E628D7">
              <w:rPr>
                <w:rFonts w:cs="Sylfaen"/>
                <w:color w:val="000000"/>
                <w:lang w:val="af-ZA"/>
              </w:rPr>
              <w:t xml:space="preserve"> </w:t>
            </w:r>
            <w:r w:rsidRPr="00E628D7">
              <w:rPr>
                <w:rFonts w:cs="Sylfaen"/>
                <w:color w:val="000000"/>
                <w:lang w:val="ru-RU"/>
              </w:rPr>
              <w:t>հնարավորություն</w:t>
            </w:r>
            <w:r w:rsidRPr="00E628D7">
              <w:rPr>
                <w:rFonts w:cs="Sylfaen"/>
                <w:color w:val="000000"/>
                <w:lang w:val="af-ZA"/>
              </w:rPr>
              <w:t>:</w:t>
            </w:r>
          </w:p>
          <w:p w:rsidR="00995A02" w:rsidRPr="00E628D7" w:rsidRDefault="00995A02" w:rsidP="00995A02">
            <w:pPr>
              <w:spacing w:line="360" w:lineRule="auto"/>
              <w:ind w:firstLine="708"/>
              <w:jc w:val="both"/>
              <w:rPr>
                <w:rFonts w:cs="Sylfaen"/>
                <w:color w:val="000000"/>
                <w:lang w:val="af-ZA"/>
              </w:rPr>
            </w:pPr>
            <w:r w:rsidRPr="00E628D7">
              <w:rPr>
                <w:rFonts w:cs="Sylfaen"/>
                <w:color w:val="000000"/>
                <w:lang w:val="ru-RU"/>
              </w:rPr>
              <w:t>Նախագծի</w:t>
            </w:r>
            <w:r w:rsidRPr="00E628D7">
              <w:rPr>
                <w:rFonts w:cs="Sylfaen"/>
                <w:color w:val="000000"/>
                <w:lang w:val="af-ZA"/>
              </w:rPr>
              <w:t xml:space="preserve"> </w:t>
            </w:r>
            <w:r w:rsidRPr="00E628D7">
              <w:rPr>
                <w:rFonts w:cs="Sylfaen"/>
                <w:color w:val="000000"/>
                <w:lang w:val="ru-RU"/>
              </w:rPr>
              <w:t>նույն</w:t>
            </w:r>
            <w:r w:rsidRPr="00E628D7">
              <w:rPr>
                <w:rFonts w:cs="Sylfaen"/>
                <w:color w:val="000000"/>
                <w:lang w:val="af-ZA"/>
              </w:rPr>
              <w:t xml:space="preserve"> </w:t>
            </w:r>
            <w:r w:rsidRPr="00E628D7">
              <w:rPr>
                <w:rFonts w:cs="Sylfaen"/>
                <w:color w:val="000000"/>
                <w:lang w:val="ru-RU"/>
              </w:rPr>
              <w:t>հոդվածի</w:t>
            </w:r>
            <w:r w:rsidRPr="00E628D7">
              <w:rPr>
                <w:rFonts w:cs="Sylfaen"/>
                <w:color w:val="000000"/>
                <w:lang w:val="af-ZA"/>
              </w:rPr>
              <w:t xml:space="preserve"> </w:t>
            </w:r>
            <w:r w:rsidRPr="00E628D7">
              <w:rPr>
                <w:rFonts w:cs="Sylfaen"/>
                <w:color w:val="000000"/>
                <w:lang w:val="ru-RU"/>
              </w:rPr>
              <w:t>համաձայն</w:t>
            </w:r>
            <w:r w:rsidRPr="00E628D7">
              <w:rPr>
                <w:rFonts w:cs="Sylfaen"/>
                <w:color w:val="000000"/>
                <w:lang w:val="af-ZA"/>
              </w:rPr>
              <w:t xml:space="preserve">` շահութաբաժինների բաշխումը սահմանափակելու չափանիշները </w:t>
            </w:r>
            <w:r w:rsidRPr="00E628D7">
              <w:rPr>
                <w:rFonts w:cs="Sylfaen"/>
                <w:color w:val="000000"/>
                <w:lang w:val="ru-RU"/>
              </w:rPr>
              <w:t>սահմանվում</w:t>
            </w:r>
            <w:r w:rsidRPr="00E628D7">
              <w:rPr>
                <w:rFonts w:cs="Sylfaen"/>
                <w:color w:val="000000"/>
                <w:lang w:val="af-ZA"/>
              </w:rPr>
              <w:t xml:space="preserve"> </w:t>
            </w:r>
            <w:r w:rsidRPr="00E628D7">
              <w:rPr>
                <w:rFonts w:cs="Sylfaen"/>
                <w:color w:val="000000"/>
                <w:lang w:val="ru-RU"/>
              </w:rPr>
              <w:t>են</w:t>
            </w:r>
            <w:r w:rsidRPr="00E628D7">
              <w:rPr>
                <w:rFonts w:cs="Sylfaen"/>
                <w:color w:val="000000"/>
                <w:lang w:val="af-ZA"/>
              </w:rPr>
              <w:t xml:space="preserve"> Կենտրոնական բանկի կողմից:</w:t>
            </w:r>
          </w:p>
          <w:p w:rsidR="00995A02" w:rsidRPr="00E628D7" w:rsidRDefault="00995A02" w:rsidP="00995A02">
            <w:pPr>
              <w:spacing w:line="360" w:lineRule="auto"/>
              <w:ind w:firstLine="708"/>
              <w:jc w:val="both"/>
              <w:rPr>
                <w:rFonts w:cs="Sylfaen"/>
                <w:color w:val="000000"/>
                <w:lang w:val="af-ZA"/>
              </w:rPr>
            </w:pPr>
            <w:r w:rsidRPr="00E628D7">
              <w:rPr>
                <w:rFonts w:cs="Sylfaen"/>
                <w:color w:val="000000"/>
                <w:lang w:val="ru-RU"/>
              </w:rPr>
              <w:t>Նախատեսվող</w:t>
            </w:r>
            <w:r w:rsidRPr="00E628D7">
              <w:rPr>
                <w:rFonts w:cs="Sylfaen"/>
                <w:color w:val="000000"/>
                <w:lang w:val="af-ZA"/>
              </w:rPr>
              <w:t xml:space="preserve"> </w:t>
            </w:r>
            <w:r w:rsidRPr="00E628D7">
              <w:rPr>
                <w:rFonts w:cs="Sylfaen"/>
                <w:color w:val="000000"/>
                <w:lang w:val="ru-RU"/>
              </w:rPr>
              <w:t>կարգավորման</w:t>
            </w:r>
            <w:r w:rsidRPr="00E628D7">
              <w:rPr>
                <w:rFonts w:cs="Sylfaen"/>
                <w:color w:val="000000"/>
                <w:lang w:val="af-ZA"/>
              </w:rPr>
              <w:t xml:space="preserve"> </w:t>
            </w:r>
            <w:r w:rsidRPr="00E628D7">
              <w:rPr>
                <w:rFonts w:cs="Sylfaen"/>
                <w:color w:val="000000"/>
                <w:lang w:val="ru-RU"/>
              </w:rPr>
              <w:t>առնչությամբ</w:t>
            </w:r>
            <w:r w:rsidRPr="00E628D7">
              <w:rPr>
                <w:rFonts w:cs="Sylfaen"/>
                <w:color w:val="000000"/>
                <w:lang w:val="af-ZA"/>
              </w:rPr>
              <w:t xml:space="preserve"> </w:t>
            </w:r>
            <w:r w:rsidRPr="00E628D7">
              <w:rPr>
                <w:rFonts w:cs="Sylfaen"/>
                <w:color w:val="000000"/>
                <w:lang w:val="ru-RU"/>
              </w:rPr>
              <w:t>գտնում</w:t>
            </w:r>
            <w:r w:rsidRPr="00E628D7">
              <w:rPr>
                <w:rFonts w:cs="Sylfaen"/>
                <w:color w:val="000000"/>
                <w:lang w:val="af-ZA"/>
              </w:rPr>
              <w:t xml:space="preserve"> </w:t>
            </w:r>
            <w:r w:rsidRPr="00E628D7">
              <w:rPr>
                <w:rFonts w:cs="Sylfaen"/>
                <w:color w:val="000000"/>
                <w:lang w:val="ru-RU"/>
              </w:rPr>
              <w:t>ենք</w:t>
            </w:r>
            <w:r w:rsidRPr="00E628D7">
              <w:rPr>
                <w:rFonts w:cs="Sylfaen"/>
                <w:color w:val="000000"/>
                <w:lang w:val="af-ZA"/>
              </w:rPr>
              <w:t xml:space="preserve">, </w:t>
            </w:r>
            <w:r w:rsidRPr="00E628D7">
              <w:rPr>
                <w:rFonts w:cs="Sylfaen"/>
                <w:color w:val="000000"/>
                <w:lang w:val="ru-RU"/>
              </w:rPr>
              <w:t>որ</w:t>
            </w:r>
            <w:r w:rsidRPr="00E628D7">
              <w:rPr>
                <w:rFonts w:cs="Sylfaen"/>
                <w:color w:val="000000"/>
                <w:lang w:val="af-ZA"/>
              </w:rPr>
              <w:t xml:space="preserve"> </w:t>
            </w:r>
            <w:r w:rsidRPr="00E628D7">
              <w:rPr>
                <w:rFonts w:cs="Sylfaen"/>
                <w:color w:val="000000"/>
                <w:lang w:val="ru-RU"/>
              </w:rPr>
              <w:t>անհրաժեշտ</w:t>
            </w:r>
            <w:r w:rsidRPr="00E628D7">
              <w:rPr>
                <w:rFonts w:cs="Sylfaen"/>
                <w:color w:val="000000"/>
                <w:lang w:val="af-ZA"/>
              </w:rPr>
              <w:t xml:space="preserve"> </w:t>
            </w:r>
            <w:r w:rsidRPr="00E628D7">
              <w:rPr>
                <w:rFonts w:cs="Sylfaen"/>
                <w:color w:val="000000"/>
                <w:lang w:val="ru-RU"/>
              </w:rPr>
              <w:t>է</w:t>
            </w:r>
            <w:r w:rsidRPr="00E628D7">
              <w:rPr>
                <w:rFonts w:cs="Sylfaen"/>
                <w:color w:val="000000"/>
                <w:lang w:val="af-ZA"/>
              </w:rPr>
              <w:t xml:space="preserve"> </w:t>
            </w:r>
            <w:r w:rsidRPr="00E628D7">
              <w:rPr>
                <w:rFonts w:cs="Sylfaen"/>
                <w:color w:val="000000"/>
                <w:lang w:val="ru-RU"/>
              </w:rPr>
              <w:t>հստակ</w:t>
            </w:r>
            <w:r w:rsidRPr="00E628D7">
              <w:rPr>
                <w:rFonts w:cs="Sylfaen"/>
                <w:color w:val="000000"/>
                <w:lang w:val="af-ZA"/>
              </w:rPr>
              <w:t xml:space="preserve"> </w:t>
            </w:r>
            <w:r w:rsidRPr="00E628D7">
              <w:rPr>
                <w:rFonts w:cs="Sylfaen"/>
                <w:color w:val="000000"/>
                <w:lang w:val="ru-RU"/>
              </w:rPr>
              <w:t>սահմանել</w:t>
            </w:r>
            <w:r w:rsidRPr="00E628D7">
              <w:rPr>
                <w:rFonts w:cs="Sylfaen"/>
                <w:color w:val="000000"/>
                <w:lang w:val="af-ZA"/>
              </w:rPr>
              <w:t xml:space="preserve">` </w:t>
            </w:r>
            <w:r w:rsidRPr="00E628D7">
              <w:rPr>
                <w:rFonts w:cs="Sylfaen"/>
                <w:color w:val="000000"/>
                <w:lang w:val="ru-RU"/>
              </w:rPr>
              <w:t>որ</w:t>
            </w:r>
            <w:r w:rsidRPr="00E628D7">
              <w:rPr>
                <w:rFonts w:cs="Sylfaen"/>
                <w:color w:val="000000"/>
                <w:lang w:val="af-ZA"/>
              </w:rPr>
              <w:t xml:space="preserve"> </w:t>
            </w:r>
            <w:r w:rsidRPr="00E628D7">
              <w:rPr>
                <w:rFonts w:cs="Sylfaen"/>
                <w:color w:val="000000"/>
                <w:lang w:val="ru-RU"/>
              </w:rPr>
              <w:t>դեպքում</w:t>
            </w:r>
            <w:r w:rsidRPr="00E628D7">
              <w:rPr>
                <w:rFonts w:cs="Sylfaen"/>
                <w:color w:val="000000"/>
                <w:lang w:val="af-ZA"/>
              </w:rPr>
              <w:t xml:space="preserve"> </w:t>
            </w:r>
            <w:r w:rsidRPr="00E628D7">
              <w:rPr>
                <w:rFonts w:cs="Sylfaen"/>
                <w:color w:val="000000"/>
                <w:lang w:val="ru-RU"/>
              </w:rPr>
              <w:t>Կենտրոնական</w:t>
            </w:r>
            <w:r w:rsidRPr="00E628D7">
              <w:rPr>
                <w:rFonts w:cs="Sylfaen"/>
                <w:color w:val="000000"/>
                <w:lang w:val="af-ZA"/>
              </w:rPr>
              <w:t xml:space="preserve"> </w:t>
            </w:r>
            <w:r w:rsidRPr="00E628D7">
              <w:rPr>
                <w:rFonts w:cs="Sylfaen"/>
                <w:color w:val="000000"/>
                <w:lang w:val="ru-RU"/>
              </w:rPr>
              <w:t>բանկը</w:t>
            </w:r>
            <w:r w:rsidRPr="00E628D7">
              <w:rPr>
                <w:rFonts w:cs="Sylfaen"/>
                <w:color w:val="000000"/>
                <w:lang w:val="af-ZA"/>
              </w:rPr>
              <w:t xml:space="preserve"> </w:t>
            </w:r>
            <w:r w:rsidRPr="00E628D7">
              <w:rPr>
                <w:rFonts w:cs="Sylfaen"/>
                <w:color w:val="000000"/>
                <w:lang w:val="ru-RU"/>
              </w:rPr>
              <w:t>կարող</w:t>
            </w:r>
            <w:r w:rsidRPr="00E628D7">
              <w:rPr>
                <w:rFonts w:cs="Sylfaen"/>
                <w:color w:val="000000"/>
                <w:lang w:val="af-ZA"/>
              </w:rPr>
              <w:t xml:space="preserve"> </w:t>
            </w:r>
            <w:r w:rsidRPr="00E628D7">
              <w:rPr>
                <w:rFonts w:cs="Sylfaen"/>
                <w:color w:val="000000"/>
                <w:lang w:val="ru-RU"/>
              </w:rPr>
              <w:t>է</w:t>
            </w:r>
            <w:r w:rsidRPr="00E628D7">
              <w:rPr>
                <w:rFonts w:cs="Sylfaen"/>
                <w:color w:val="000000"/>
                <w:lang w:val="af-ZA"/>
              </w:rPr>
              <w:t xml:space="preserve"> </w:t>
            </w:r>
            <w:r w:rsidRPr="00E628D7">
              <w:rPr>
                <w:rFonts w:cs="Sylfaen"/>
                <w:color w:val="000000"/>
                <w:lang w:val="ru-RU"/>
              </w:rPr>
              <w:t>չթույլատրել</w:t>
            </w:r>
            <w:r w:rsidRPr="00E628D7">
              <w:rPr>
                <w:rFonts w:cs="Sylfaen"/>
                <w:color w:val="000000"/>
                <w:lang w:val="af-ZA"/>
              </w:rPr>
              <w:t xml:space="preserve">, իսկ </w:t>
            </w:r>
            <w:r w:rsidRPr="00E628D7">
              <w:rPr>
                <w:rFonts w:cs="Sylfaen"/>
                <w:color w:val="000000"/>
                <w:lang w:val="ru-RU"/>
              </w:rPr>
              <w:t>որ</w:t>
            </w:r>
            <w:r w:rsidRPr="00E628D7">
              <w:rPr>
                <w:rFonts w:cs="Sylfaen"/>
                <w:color w:val="000000"/>
                <w:lang w:val="af-ZA"/>
              </w:rPr>
              <w:t xml:space="preserve"> </w:t>
            </w:r>
            <w:r w:rsidRPr="00E628D7">
              <w:rPr>
                <w:rFonts w:cs="Sylfaen"/>
                <w:color w:val="000000"/>
                <w:lang w:val="ru-RU"/>
              </w:rPr>
              <w:t>դեպքում</w:t>
            </w:r>
            <w:r w:rsidRPr="00E628D7">
              <w:rPr>
                <w:rFonts w:cs="Sylfaen"/>
                <w:color w:val="000000"/>
                <w:lang w:val="af-ZA"/>
              </w:rPr>
              <w:t xml:space="preserve">` </w:t>
            </w:r>
            <w:r w:rsidRPr="00E628D7">
              <w:rPr>
                <w:rFonts w:cs="Sylfaen"/>
                <w:color w:val="000000"/>
                <w:lang w:val="ru-RU"/>
              </w:rPr>
              <w:t>սահմանափակել</w:t>
            </w:r>
            <w:r w:rsidRPr="00E628D7">
              <w:rPr>
                <w:rFonts w:cs="Sylfaen"/>
                <w:color w:val="000000"/>
                <w:lang w:val="af-ZA"/>
              </w:rPr>
              <w:t xml:space="preserve"> </w:t>
            </w:r>
            <w:r w:rsidRPr="00E628D7">
              <w:rPr>
                <w:rFonts w:cs="Sylfaen"/>
                <w:color w:val="000000"/>
                <w:lang w:val="ru-RU"/>
              </w:rPr>
              <w:lastRenderedPageBreak/>
              <w:t>շահութաբաժինների</w:t>
            </w:r>
            <w:r w:rsidRPr="00E628D7">
              <w:rPr>
                <w:rFonts w:cs="Sylfaen"/>
                <w:color w:val="000000"/>
                <w:lang w:val="af-ZA"/>
              </w:rPr>
              <w:t xml:space="preserve"> </w:t>
            </w:r>
            <w:r w:rsidRPr="00E628D7">
              <w:rPr>
                <w:rFonts w:cs="Sylfaen"/>
                <w:color w:val="000000"/>
                <w:lang w:val="ru-RU"/>
              </w:rPr>
              <w:t>բաշխումը</w:t>
            </w:r>
            <w:r w:rsidRPr="00E628D7">
              <w:rPr>
                <w:rFonts w:cs="Sylfaen"/>
                <w:color w:val="000000"/>
                <w:lang w:val="af-ZA"/>
              </w:rPr>
              <w:t>:</w:t>
            </w:r>
          </w:p>
          <w:p w:rsidR="00995A02" w:rsidRPr="00E628D7" w:rsidRDefault="00995A02" w:rsidP="00995A02">
            <w:pPr>
              <w:spacing w:line="360" w:lineRule="auto"/>
              <w:ind w:firstLine="708"/>
              <w:jc w:val="both"/>
              <w:rPr>
                <w:rFonts w:cs="Sylfaen"/>
                <w:bCs/>
                <w:lang w:val="af-ZA"/>
              </w:rPr>
            </w:pPr>
            <w:r w:rsidRPr="00E628D7">
              <w:rPr>
                <w:rFonts w:cs="Sylfaen"/>
                <w:color w:val="000000"/>
                <w:lang w:val="ru-RU"/>
              </w:rPr>
              <w:t>Նախագծի</w:t>
            </w:r>
            <w:r w:rsidRPr="00E628D7">
              <w:rPr>
                <w:rFonts w:cs="Sylfaen"/>
                <w:color w:val="000000"/>
                <w:lang w:val="af-ZA"/>
              </w:rPr>
              <w:t xml:space="preserve"> </w:t>
            </w:r>
            <w:r w:rsidRPr="00E628D7">
              <w:rPr>
                <w:rFonts w:cs="Sylfaen"/>
                <w:color w:val="000000"/>
                <w:lang w:val="ru-RU"/>
              </w:rPr>
              <w:t>նշված</w:t>
            </w:r>
            <w:r w:rsidRPr="00E628D7">
              <w:rPr>
                <w:rFonts w:cs="Sylfaen"/>
                <w:color w:val="000000"/>
                <w:lang w:val="af-ZA"/>
              </w:rPr>
              <w:t xml:space="preserve"> </w:t>
            </w:r>
            <w:r w:rsidRPr="00E628D7">
              <w:rPr>
                <w:rFonts w:cs="Sylfaen"/>
                <w:color w:val="000000"/>
              </w:rPr>
              <w:t>հոդվածն</w:t>
            </w:r>
            <w:r w:rsidRPr="00E628D7">
              <w:rPr>
                <w:rFonts w:cs="Sylfaen"/>
                <w:color w:val="000000"/>
                <w:lang w:val="af-ZA"/>
              </w:rPr>
              <w:t xml:space="preserve"> </w:t>
            </w:r>
            <w:r w:rsidRPr="00E628D7">
              <w:rPr>
                <w:rFonts w:cs="Sylfaen"/>
                <w:color w:val="000000"/>
                <w:lang w:val="ru-RU"/>
              </w:rPr>
              <w:t>իր</w:t>
            </w:r>
            <w:r w:rsidRPr="00E628D7">
              <w:rPr>
                <w:rFonts w:cs="Sylfaen"/>
                <w:color w:val="000000"/>
                <w:lang w:val="af-ZA"/>
              </w:rPr>
              <w:t xml:space="preserve"> </w:t>
            </w:r>
            <w:r w:rsidRPr="00E628D7">
              <w:rPr>
                <w:rFonts w:cs="Sylfaen"/>
                <w:color w:val="000000"/>
                <w:lang w:val="ru-RU"/>
              </w:rPr>
              <w:t>մեջ</w:t>
            </w:r>
            <w:r w:rsidRPr="00E628D7">
              <w:rPr>
                <w:rFonts w:cs="Sylfaen"/>
                <w:color w:val="000000"/>
                <w:lang w:val="af-ZA"/>
              </w:rPr>
              <w:t xml:space="preserve"> </w:t>
            </w:r>
            <w:r w:rsidRPr="00E628D7">
              <w:rPr>
                <w:rFonts w:cs="Sylfaen"/>
                <w:color w:val="000000"/>
                <w:lang w:val="ru-RU"/>
              </w:rPr>
              <w:t>պարունակում</w:t>
            </w:r>
            <w:r w:rsidRPr="00E628D7">
              <w:rPr>
                <w:rFonts w:cs="Sylfaen"/>
                <w:color w:val="000000"/>
                <w:lang w:val="af-ZA"/>
              </w:rPr>
              <w:t xml:space="preserve"> </w:t>
            </w:r>
            <w:r w:rsidRPr="00E628D7">
              <w:rPr>
                <w:rFonts w:cs="Sylfaen"/>
                <w:color w:val="000000"/>
                <w:lang w:val="ru-RU"/>
              </w:rPr>
              <w:t>է</w:t>
            </w:r>
            <w:r w:rsidRPr="00E628D7">
              <w:rPr>
                <w:rFonts w:cs="Sylfaen"/>
                <w:color w:val="000000"/>
                <w:lang w:val="af-ZA"/>
              </w:rPr>
              <w:t xml:space="preserve"> </w:t>
            </w:r>
            <w:r w:rsidRPr="00E628D7">
              <w:rPr>
                <w:rFonts w:cs="Sylfaen"/>
                <w:bCs/>
                <w:lang w:val="af-ZA"/>
              </w:rPr>
              <w:t>Հայաստանի</w:t>
            </w:r>
            <w:r w:rsidRPr="00E628D7">
              <w:rPr>
                <w:rFonts w:cs="IRTEK Courier"/>
                <w:bCs/>
                <w:lang w:val="af-ZA"/>
              </w:rPr>
              <w:t xml:space="preserve"> </w:t>
            </w:r>
            <w:r w:rsidRPr="00E628D7">
              <w:rPr>
                <w:rFonts w:cs="Sylfaen"/>
                <w:bCs/>
                <w:lang w:val="af-ZA"/>
              </w:rPr>
              <w:t>Հանրապետության</w:t>
            </w:r>
            <w:r w:rsidRPr="00E628D7">
              <w:rPr>
                <w:rFonts w:cs="IRTEK Courier"/>
                <w:bCs/>
                <w:lang w:val="af-ZA"/>
              </w:rPr>
              <w:t xml:space="preserve"> </w:t>
            </w:r>
            <w:r w:rsidRPr="00E628D7">
              <w:rPr>
                <w:rFonts w:cs="Sylfaen"/>
                <w:bCs/>
                <w:lang w:val="af-ZA"/>
              </w:rPr>
              <w:t>կառավարության</w:t>
            </w:r>
            <w:r w:rsidRPr="00E628D7">
              <w:rPr>
                <w:rFonts w:cs="IRTEK Courier"/>
                <w:bCs/>
                <w:lang w:val="af-ZA"/>
              </w:rPr>
              <w:t xml:space="preserve"> 2009 </w:t>
            </w:r>
            <w:r w:rsidRPr="00E628D7">
              <w:rPr>
                <w:rFonts w:cs="Sylfaen"/>
                <w:bCs/>
                <w:lang w:val="af-ZA"/>
              </w:rPr>
              <w:t>թվականի</w:t>
            </w:r>
            <w:r w:rsidRPr="00E628D7">
              <w:rPr>
                <w:rFonts w:cs="IRTEK Courier"/>
                <w:bCs/>
                <w:lang w:val="af-ZA"/>
              </w:rPr>
              <w:t xml:space="preserve"> </w:t>
            </w:r>
            <w:r w:rsidRPr="00E628D7">
              <w:rPr>
                <w:rFonts w:cs="Sylfaen"/>
                <w:bCs/>
                <w:lang w:val="af-ZA"/>
              </w:rPr>
              <w:t>հոկտեմբերի</w:t>
            </w:r>
            <w:r w:rsidRPr="00E628D7">
              <w:rPr>
                <w:rFonts w:cs="IRTEK Courier"/>
                <w:bCs/>
                <w:lang w:val="af-ZA"/>
              </w:rPr>
              <w:t xml:space="preserve"> 22-</w:t>
            </w:r>
            <w:r w:rsidRPr="00E628D7">
              <w:rPr>
                <w:rFonts w:cs="Sylfaen"/>
                <w:bCs/>
                <w:lang w:val="af-ZA"/>
              </w:rPr>
              <w:t>ի</w:t>
            </w:r>
            <w:r w:rsidRPr="00E628D7">
              <w:rPr>
                <w:rFonts w:cs="IRTEK Courier"/>
                <w:bCs/>
                <w:lang w:val="af-ZA"/>
              </w:rPr>
              <w:t xml:space="preserve"> «</w:t>
            </w:r>
            <w:r w:rsidRPr="00E628D7">
              <w:rPr>
                <w:rFonts w:cs="Sylfaen"/>
                <w:bCs/>
                <w:lang w:val="af-ZA"/>
              </w:rPr>
              <w:t>Նորմատիվ</w:t>
            </w:r>
            <w:r w:rsidRPr="00E628D7">
              <w:rPr>
                <w:rFonts w:cs="IRTEK Courier"/>
                <w:bCs/>
                <w:lang w:val="af-ZA"/>
              </w:rPr>
              <w:t xml:space="preserve"> </w:t>
            </w:r>
            <w:r w:rsidRPr="00E628D7">
              <w:rPr>
                <w:rFonts w:cs="Sylfaen"/>
                <w:bCs/>
                <w:lang w:val="af-ZA"/>
              </w:rPr>
              <w:t>իրավական</w:t>
            </w:r>
            <w:r w:rsidRPr="00E628D7">
              <w:rPr>
                <w:rFonts w:cs="IRTEK Courier"/>
                <w:bCs/>
                <w:lang w:val="af-ZA"/>
              </w:rPr>
              <w:t xml:space="preserve"> </w:t>
            </w:r>
            <w:r w:rsidRPr="00E628D7">
              <w:rPr>
                <w:rFonts w:cs="Sylfaen"/>
                <w:bCs/>
                <w:lang w:val="af-ZA"/>
              </w:rPr>
              <w:t>ակտերի</w:t>
            </w:r>
            <w:r w:rsidRPr="00E628D7">
              <w:rPr>
                <w:rFonts w:cs="IRTEK Courier"/>
                <w:bCs/>
                <w:lang w:val="af-ZA"/>
              </w:rPr>
              <w:t xml:space="preserve"> </w:t>
            </w:r>
            <w:r w:rsidRPr="00E628D7">
              <w:rPr>
                <w:rFonts w:cs="Sylfaen"/>
                <w:bCs/>
                <w:lang w:val="af-ZA"/>
              </w:rPr>
              <w:t>նախագծերի</w:t>
            </w:r>
            <w:r w:rsidRPr="00E628D7">
              <w:rPr>
                <w:rFonts w:cs="IRTEK Courier"/>
                <w:bCs/>
                <w:lang w:val="af-ZA"/>
              </w:rPr>
              <w:t xml:space="preserve"> </w:t>
            </w:r>
            <w:r w:rsidRPr="00E628D7">
              <w:rPr>
                <w:rFonts w:cs="Sylfaen"/>
                <w:bCs/>
                <w:lang w:val="af-ZA"/>
              </w:rPr>
              <w:t>հակակոռուպցիոն</w:t>
            </w:r>
            <w:r w:rsidRPr="00E628D7">
              <w:rPr>
                <w:rFonts w:cs="IRTEK Courier"/>
                <w:bCs/>
                <w:lang w:val="af-ZA"/>
              </w:rPr>
              <w:t xml:space="preserve"> </w:t>
            </w:r>
            <w:r w:rsidRPr="00E628D7">
              <w:rPr>
                <w:rFonts w:cs="Sylfaen"/>
                <w:bCs/>
                <w:lang w:val="af-ZA"/>
              </w:rPr>
              <w:t>բնագավառում</w:t>
            </w:r>
            <w:r w:rsidRPr="00E628D7">
              <w:rPr>
                <w:rFonts w:cs="IRTEK Courier"/>
                <w:bCs/>
                <w:lang w:val="af-ZA"/>
              </w:rPr>
              <w:t xml:space="preserve"> </w:t>
            </w:r>
            <w:r w:rsidRPr="00E628D7">
              <w:rPr>
                <w:rFonts w:cs="Sylfaen"/>
                <w:bCs/>
                <w:lang w:val="af-ZA"/>
              </w:rPr>
              <w:t>կարգավորման</w:t>
            </w:r>
            <w:r w:rsidRPr="00E628D7">
              <w:rPr>
                <w:rFonts w:cs="IRTEK Courier"/>
                <w:bCs/>
                <w:lang w:val="af-ZA"/>
              </w:rPr>
              <w:t xml:space="preserve"> </w:t>
            </w:r>
            <w:r w:rsidRPr="00E628D7">
              <w:rPr>
                <w:rFonts w:cs="Sylfaen"/>
                <w:bCs/>
                <w:lang w:val="af-ZA"/>
              </w:rPr>
              <w:t>ազդեցության</w:t>
            </w:r>
            <w:r w:rsidRPr="00E628D7">
              <w:rPr>
                <w:rFonts w:cs="IRTEK Courier"/>
                <w:bCs/>
                <w:lang w:val="af-ZA"/>
              </w:rPr>
              <w:t xml:space="preserve"> </w:t>
            </w:r>
            <w:r w:rsidRPr="00E628D7">
              <w:rPr>
                <w:rFonts w:cs="Sylfaen"/>
                <w:bCs/>
                <w:lang w:val="af-ZA"/>
              </w:rPr>
              <w:t>գնահատման</w:t>
            </w:r>
            <w:r w:rsidRPr="00E628D7">
              <w:rPr>
                <w:rFonts w:cs="IRTEK Courier"/>
                <w:bCs/>
                <w:lang w:val="af-ZA"/>
              </w:rPr>
              <w:t xml:space="preserve"> </w:t>
            </w:r>
            <w:r w:rsidRPr="00E628D7">
              <w:rPr>
                <w:rFonts w:cs="Sylfaen"/>
                <w:bCs/>
                <w:lang w:val="af-ZA"/>
              </w:rPr>
              <w:t>իրականացման</w:t>
            </w:r>
            <w:r w:rsidRPr="00E628D7">
              <w:rPr>
                <w:rFonts w:cs="IRTEK Courier"/>
                <w:bCs/>
                <w:lang w:val="af-ZA"/>
              </w:rPr>
              <w:t xml:space="preserve"> </w:t>
            </w:r>
            <w:r w:rsidRPr="00E628D7">
              <w:rPr>
                <w:rFonts w:cs="Sylfaen"/>
                <w:bCs/>
                <w:lang w:val="af-ZA"/>
              </w:rPr>
              <w:t>կարգը</w:t>
            </w:r>
            <w:r w:rsidRPr="00E628D7">
              <w:rPr>
                <w:rFonts w:cs="IRTEK Courier"/>
                <w:bCs/>
                <w:lang w:val="af-ZA"/>
              </w:rPr>
              <w:t xml:space="preserve"> </w:t>
            </w:r>
            <w:r w:rsidRPr="00E628D7">
              <w:rPr>
                <w:rFonts w:cs="Sylfaen"/>
                <w:bCs/>
                <w:lang w:val="af-ZA"/>
              </w:rPr>
              <w:t>հաստատելու</w:t>
            </w:r>
            <w:r w:rsidRPr="00E628D7">
              <w:rPr>
                <w:rFonts w:cs="IRTEK Courier"/>
                <w:bCs/>
                <w:lang w:val="af-ZA"/>
              </w:rPr>
              <w:t xml:space="preserve"> </w:t>
            </w:r>
            <w:r w:rsidRPr="00E628D7">
              <w:rPr>
                <w:rFonts w:cs="Sylfaen"/>
                <w:bCs/>
                <w:lang w:val="af-ZA"/>
              </w:rPr>
              <w:t>մասին</w:t>
            </w:r>
            <w:r w:rsidRPr="00E628D7">
              <w:rPr>
                <w:rFonts w:cs="IRTEK Courier"/>
                <w:bCs/>
                <w:lang w:val="af-ZA"/>
              </w:rPr>
              <w:t xml:space="preserve">» </w:t>
            </w:r>
            <w:r w:rsidRPr="00E628D7">
              <w:rPr>
                <w:rFonts w:cs="Sylfaen"/>
                <w:bCs/>
                <w:lang w:val="af-ZA"/>
              </w:rPr>
              <w:t>թիվ</w:t>
            </w:r>
            <w:r w:rsidRPr="00E628D7">
              <w:rPr>
                <w:rFonts w:cs="IRTEK Courier"/>
                <w:bCs/>
                <w:lang w:val="af-ZA"/>
              </w:rPr>
              <w:t xml:space="preserve"> 1205-</w:t>
            </w:r>
            <w:r w:rsidRPr="00E628D7">
              <w:rPr>
                <w:rFonts w:cs="Sylfaen"/>
                <w:bCs/>
                <w:lang w:val="af-ZA"/>
              </w:rPr>
              <w:t>Ն</w:t>
            </w:r>
            <w:r w:rsidRPr="00E628D7">
              <w:rPr>
                <w:rFonts w:cs="IRTEK Courier"/>
                <w:bCs/>
                <w:lang w:val="af-ZA"/>
              </w:rPr>
              <w:t xml:space="preserve"> </w:t>
            </w:r>
            <w:r w:rsidRPr="00E628D7">
              <w:rPr>
                <w:rFonts w:cs="Sylfaen"/>
                <w:bCs/>
                <w:lang w:val="af-ZA"/>
              </w:rPr>
              <w:t>որոշմամբ</w:t>
            </w:r>
            <w:r w:rsidRPr="00E628D7">
              <w:rPr>
                <w:rFonts w:cs="IRTEK Courier"/>
                <w:bCs/>
                <w:lang w:val="af-ZA"/>
              </w:rPr>
              <w:t xml:space="preserve"> </w:t>
            </w:r>
            <w:r w:rsidRPr="00E628D7">
              <w:rPr>
                <w:rFonts w:cs="Sylfaen"/>
                <w:bCs/>
                <w:lang w:val="af-ZA"/>
              </w:rPr>
              <w:t>հաստատված</w:t>
            </w:r>
            <w:r w:rsidRPr="00E628D7">
              <w:rPr>
                <w:rFonts w:cs="IRTEK Courier"/>
                <w:bCs/>
                <w:lang w:val="af-ZA"/>
              </w:rPr>
              <w:t xml:space="preserve"> </w:t>
            </w:r>
            <w:r w:rsidRPr="00E628D7">
              <w:rPr>
                <w:rFonts w:cs="Sylfaen"/>
                <w:bCs/>
                <w:lang w:val="af-ZA"/>
              </w:rPr>
              <w:t xml:space="preserve">կարգի </w:t>
            </w:r>
            <w:r w:rsidRPr="00E628D7">
              <w:rPr>
                <w:rFonts w:cs="IRTEK Courier"/>
                <w:bCs/>
                <w:lang w:val="af-ZA"/>
              </w:rPr>
              <w:t>9-</w:t>
            </w:r>
            <w:r w:rsidRPr="00E628D7">
              <w:rPr>
                <w:rFonts w:cs="Sylfaen"/>
                <w:bCs/>
                <w:lang w:val="af-ZA"/>
              </w:rPr>
              <w:t>րդ</w:t>
            </w:r>
            <w:r w:rsidRPr="00E628D7">
              <w:rPr>
                <w:rFonts w:cs="IRTEK Courier"/>
                <w:bCs/>
                <w:lang w:val="af-ZA"/>
              </w:rPr>
              <w:t xml:space="preserve"> </w:t>
            </w:r>
            <w:r w:rsidRPr="00E628D7">
              <w:rPr>
                <w:rFonts w:cs="Sylfaen"/>
                <w:bCs/>
                <w:lang w:val="af-ZA"/>
              </w:rPr>
              <w:t>կետի    5-</w:t>
            </w:r>
            <w:r w:rsidRPr="00E628D7">
              <w:rPr>
                <w:rFonts w:cs="Sylfaen"/>
                <w:bCs/>
                <w:lang w:val="ru-RU"/>
              </w:rPr>
              <w:t>րդ</w:t>
            </w:r>
            <w:r w:rsidRPr="00E628D7">
              <w:rPr>
                <w:rFonts w:cs="Sylfaen"/>
                <w:bCs/>
                <w:lang w:val="af-ZA"/>
              </w:rPr>
              <w:t xml:space="preserve"> ենթակետով նախատեսված կոռուպցիոն գործոն</w:t>
            </w:r>
            <w:r w:rsidRPr="00E628D7">
              <w:rPr>
                <w:rFonts w:cs="Sylfaen"/>
                <w:bCs/>
                <w:lang w:val="ru-RU"/>
              </w:rPr>
              <w:t>ը</w:t>
            </w:r>
            <w:r w:rsidRPr="00E628D7">
              <w:rPr>
                <w:rFonts w:cs="Sylfaen"/>
                <w:bCs/>
                <w:lang w:val="af-ZA"/>
              </w:rPr>
              <w:t xml:space="preserve">, </w:t>
            </w:r>
            <w:r w:rsidRPr="00E628D7">
              <w:rPr>
                <w:rFonts w:cs="Sylfaen"/>
                <w:bCs/>
              </w:rPr>
              <w:t>որը</w:t>
            </w:r>
            <w:r w:rsidRPr="00E628D7">
              <w:rPr>
                <w:rFonts w:cs="Sylfaen"/>
                <w:bCs/>
                <w:lang w:val="af-ZA"/>
              </w:rPr>
              <w:t xml:space="preserve"> </w:t>
            </w:r>
            <w:r w:rsidRPr="00E628D7">
              <w:rPr>
                <w:rFonts w:cs="Sylfaen"/>
                <w:bCs/>
              </w:rPr>
              <w:t>դրսևորվում</w:t>
            </w:r>
            <w:r w:rsidRPr="00E628D7">
              <w:rPr>
                <w:rFonts w:cs="Sylfaen"/>
                <w:bCs/>
                <w:lang w:val="af-ZA"/>
              </w:rPr>
              <w:t xml:space="preserve"> </w:t>
            </w:r>
            <w:r w:rsidRPr="00E628D7">
              <w:rPr>
                <w:rFonts w:cs="Sylfaen"/>
                <w:bCs/>
              </w:rPr>
              <w:t>է</w:t>
            </w:r>
            <w:r w:rsidRPr="00E628D7">
              <w:rPr>
                <w:rFonts w:cs="Sylfaen"/>
                <w:bCs/>
                <w:lang w:val="af-ZA"/>
              </w:rPr>
              <w:t xml:space="preserve">  </w:t>
            </w:r>
            <w:r w:rsidRPr="00E628D7">
              <w:rPr>
                <w:rFonts w:cs="Sylfaen"/>
                <w:bCs/>
                <w:lang w:val="ru-RU"/>
              </w:rPr>
              <w:t>կարգավորման</w:t>
            </w:r>
            <w:r w:rsidRPr="00E628D7">
              <w:rPr>
                <w:rFonts w:cs="Sylfaen"/>
                <w:bCs/>
                <w:lang w:val="af-ZA"/>
              </w:rPr>
              <w:t xml:space="preserve"> </w:t>
            </w:r>
            <w:r w:rsidRPr="00E628D7">
              <w:rPr>
                <w:rFonts w:cs="Sylfaen"/>
                <w:bCs/>
                <w:lang w:val="ru-RU"/>
              </w:rPr>
              <w:t>բացերի</w:t>
            </w:r>
            <w:r w:rsidRPr="00E628D7">
              <w:rPr>
                <w:rFonts w:cs="Sylfaen"/>
                <w:bCs/>
                <w:lang w:val="af-ZA"/>
              </w:rPr>
              <w:t xml:space="preserve"> </w:t>
            </w:r>
            <w:r w:rsidRPr="00E628D7">
              <w:rPr>
                <w:rFonts w:cs="Sylfaen"/>
                <w:bCs/>
                <w:lang w:val="ru-RU"/>
              </w:rPr>
              <w:t>առկայությ</w:t>
            </w:r>
            <w:r w:rsidRPr="00E628D7">
              <w:rPr>
                <w:rFonts w:cs="Sylfaen"/>
                <w:bCs/>
              </w:rPr>
              <w:t>ամբ</w:t>
            </w:r>
            <w:r w:rsidRPr="00E628D7">
              <w:rPr>
                <w:rFonts w:cs="Sylfaen"/>
                <w:bCs/>
                <w:lang w:val="af-ZA"/>
              </w:rPr>
              <w:t>:</w:t>
            </w:r>
          </w:p>
          <w:p w:rsidR="00995A02" w:rsidRPr="00E628D7" w:rsidRDefault="00995A02" w:rsidP="00995A02">
            <w:pPr>
              <w:spacing w:line="360" w:lineRule="auto"/>
              <w:ind w:firstLine="708"/>
              <w:jc w:val="both"/>
              <w:rPr>
                <w:rFonts w:cs="Sylfaen"/>
                <w:bCs/>
                <w:lang w:val="af-ZA"/>
              </w:rPr>
            </w:pPr>
            <w:r w:rsidRPr="00E628D7">
              <w:rPr>
                <w:rFonts w:cs="Sylfaen"/>
                <w:bCs/>
                <w:lang w:val="ru-RU"/>
              </w:rPr>
              <w:t>Միևնույն</w:t>
            </w:r>
            <w:r w:rsidRPr="00E628D7">
              <w:rPr>
                <w:rFonts w:cs="Sylfaen"/>
                <w:bCs/>
                <w:lang w:val="af-ZA"/>
              </w:rPr>
              <w:t xml:space="preserve"> </w:t>
            </w:r>
            <w:r w:rsidRPr="00E628D7">
              <w:rPr>
                <w:rFonts w:cs="Sylfaen"/>
                <w:bCs/>
                <w:lang w:val="ru-RU"/>
              </w:rPr>
              <w:t>ժամանակ</w:t>
            </w:r>
            <w:r w:rsidRPr="00E628D7">
              <w:rPr>
                <w:rFonts w:cs="Sylfaen"/>
                <w:bCs/>
                <w:lang w:val="af-ZA"/>
              </w:rPr>
              <w:t xml:space="preserve"> </w:t>
            </w:r>
            <w:r w:rsidRPr="00E628D7">
              <w:rPr>
                <w:rFonts w:cs="Sylfaen"/>
                <w:bCs/>
                <w:lang w:val="ru-RU"/>
              </w:rPr>
              <w:t>հարկ</w:t>
            </w:r>
            <w:r w:rsidRPr="00E628D7">
              <w:rPr>
                <w:rFonts w:cs="Sylfaen"/>
                <w:bCs/>
                <w:lang w:val="af-ZA"/>
              </w:rPr>
              <w:t xml:space="preserve"> </w:t>
            </w:r>
            <w:r w:rsidRPr="00E628D7">
              <w:rPr>
                <w:rFonts w:cs="Sylfaen"/>
                <w:bCs/>
                <w:lang w:val="ru-RU"/>
              </w:rPr>
              <w:t>է</w:t>
            </w:r>
            <w:r w:rsidRPr="00E628D7">
              <w:rPr>
                <w:rFonts w:cs="Sylfaen"/>
                <w:bCs/>
                <w:lang w:val="af-ZA"/>
              </w:rPr>
              <w:t xml:space="preserve"> </w:t>
            </w:r>
            <w:r w:rsidRPr="00E628D7">
              <w:rPr>
                <w:rFonts w:cs="Sylfaen"/>
                <w:bCs/>
                <w:lang w:val="ru-RU"/>
              </w:rPr>
              <w:t>նշել</w:t>
            </w:r>
            <w:r w:rsidRPr="00E628D7">
              <w:rPr>
                <w:rFonts w:cs="Sylfaen"/>
                <w:bCs/>
                <w:lang w:val="af-ZA"/>
              </w:rPr>
              <w:t xml:space="preserve">, </w:t>
            </w:r>
            <w:r w:rsidRPr="00E628D7">
              <w:rPr>
                <w:rFonts w:cs="Sylfaen"/>
                <w:bCs/>
                <w:lang w:val="ru-RU"/>
              </w:rPr>
              <w:t>որ</w:t>
            </w:r>
            <w:r w:rsidRPr="00E628D7">
              <w:rPr>
                <w:rFonts w:cs="Sylfaen"/>
                <w:bCs/>
                <w:lang w:val="af-ZA"/>
              </w:rPr>
              <w:t xml:space="preserve"> </w:t>
            </w:r>
            <w:r w:rsidRPr="00E628D7">
              <w:rPr>
                <w:rFonts w:cs="Sylfaen"/>
                <w:bCs/>
                <w:lang w:val="ru-RU"/>
              </w:rPr>
              <w:t>Նախագծի</w:t>
            </w:r>
            <w:r w:rsidRPr="00E628D7">
              <w:rPr>
                <w:rFonts w:cs="Sylfaen"/>
                <w:bCs/>
                <w:lang w:val="af-ZA"/>
              </w:rPr>
              <w:t xml:space="preserve"> 3-</w:t>
            </w:r>
            <w:r w:rsidRPr="00E628D7">
              <w:rPr>
                <w:rFonts w:cs="Sylfaen"/>
                <w:bCs/>
                <w:lang w:val="ru-RU"/>
              </w:rPr>
              <w:t>րդ</w:t>
            </w:r>
            <w:r w:rsidRPr="00E628D7">
              <w:rPr>
                <w:rFonts w:cs="Sylfaen"/>
                <w:bCs/>
                <w:lang w:val="af-ZA"/>
              </w:rPr>
              <w:t xml:space="preserve"> </w:t>
            </w:r>
            <w:r w:rsidRPr="00E628D7">
              <w:rPr>
                <w:rFonts w:cs="Sylfaen"/>
                <w:bCs/>
                <w:lang w:val="ru-RU"/>
              </w:rPr>
              <w:t>հոդվածի</w:t>
            </w:r>
            <w:r w:rsidRPr="00E628D7">
              <w:rPr>
                <w:rFonts w:cs="Sylfaen"/>
                <w:bCs/>
                <w:lang w:val="af-ZA"/>
              </w:rPr>
              <w:t xml:space="preserve"> </w:t>
            </w:r>
            <w:r w:rsidRPr="00E628D7">
              <w:rPr>
                <w:rFonts w:cs="Sylfaen"/>
                <w:bCs/>
                <w:lang w:val="ru-RU"/>
              </w:rPr>
              <w:t>համաձայն</w:t>
            </w:r>
            <w:r w:rsidRPr="00E628D7">
              <w:rPr>
                <w:rFonts w:cs="Sylfaen"/>
                <w:bCs/>
                <w:lang w:val="af-ZA"/>
              </w:rPr>
              <w:t xml:space="preserve">` </w:t>
            </w:r>
            <w:r w:rsidRPr="00E628D7">
              <w:rPr>
                <w:rFonts w:cs="Sylfaen"/>
                <w:bCs/>
                <w:lang w:val="ru-RU"/>
              </w:rPr>
              <w:t>Կենտրոնական</w:t>
            </w:r>
            <w:r w:rsidRPr="00E628D7">
              <w:rPr>
                <w:rFonts w:cs="Sylfaen"/>
                <w:bCs/>
                <w:lang w:val="af-ZA"/>
              </w:rPr>
              <w:t xml:space="preserve"> </w:t>
            </w:r>
            <w:r w:rsidRPr="00E628D7">
              <w:rPr>
                <w:rFonts w:cs="Sylfaen"/>
                <w:bCs/>
                <w:lang w:val="ru-RU"/>
              </w:rPr>
              <w:t>բանկն</w:t>
            </w:r>
            <w:r w:rsidRPr="00E628D7">
              <w:rPr>
                <w:rFonts w:cs="Sylfaen"/>
                <w:bCs/>
                <w:lang w:val="af-ZA"/>
              </w:rPr>
              <w:t xml:space="preserve"> </w:t>
            </w:r>
            <w:r w:rsidRPr="00E628D7">
              <w:rPr>
                <w:rFonts w:cs="Sylfaen"/>
                <w:bCs/>
                <w:lang w:val="ru-RU"/>
              </w:rPr>
              <w:t>իրավասու</w:t>
            </w:r>
            <w:r w:rsidRPr="00E628D7">
              <w:rPr>
                <w:rFonts w:cs="Sylfaen"/>
                <w:bCs/>
                <w:lang w:val="af-ZA"/>
              </w:rPr>
              <w:t xml:space="preserve"> </w:t>
            </w:r>
            <w:r w:rsidRPr="00E628D7">
              <w:rPr>
                <w:rFonts w:cs="Sylfaen"/>
                <w:bCs/>
                <w:lang w:val="ru-RU"/>
              </w:rPr>
              <w:t>է</w:t>
            </w:r>
            <w:r w:rsidRPr="00E628D7">
              <w:rPr>
                <w:rFonts w:cs="Sylfaen"/>
                <w:bCs/>
                <w:lang w:val="af-ZA"/>
              </w:rPr>
              <w:t xml:space="preserve"> </w:t>
            </w:r>
            <w:r w:rsidRPr="00E628D7">
              <w:rPr>
                <w:rFonts w:cs="Sylfaen"/>
                <w:bCs/>
                <w:lang w:val="ru-RU"/>
              </w:rPr>
              <w:t>սահմանել</w:t>
            </w:r>
            <w:r w:rsidRPr="00E628D7">
              <w:rPr>
                <w:rFonts w:cs="Sylfaen"/>
                <w:bCs/>
                <w:lang w:val="af-ZA"/>
              </w:rPr>
              <w:t xml:space="preserve"> </w:t>
            </w:r>
            <w:r w:rsidRPr="00E628D7">
              <w:rPr>
                <w:rFonts w:cs="Sylfaen"/>
                <w:bCs/>
                <w:lang w:val="ru-RU"/>
              </w:rPr>
              <w:t>միայն</w:t>
            </w:r>
            <w:r w:rsidRPr="00E628D7">
              <w:rPr>
                <w:rFonts w:cs="Sylfaen"/>
                <w:bCs/>
                <w:lang w:val="af-ZA"/>
              </w:rPr>
              <w:t xml:space="preserve"> </w:t>
            </w:r>
            <w:r w:rsidRPr="00E628D7">
              <w:rPr>
                <w:rFonts w:cs="Sylfaen"/>
                <w:bCs/>
                <w:lang w:val="ru-RU"/>
              </w:rPr>
              <w:t>շահութաբաժինների</w:t>
            </w:r>
            <w:r w:rsidRPr="00E628D7">
              <w:rPr>
                <w:rFonts w:cs="Sylfaen"/>
                <w:bCs/>
                <w:lang w:val="af-ZA"/>
              </w:rPr>
              <w:t xml:space="preserve"> </w:t>
            </w:r>
            <w:r w:rsidRPr="00E628D7">
              <w:rPr>
                <w:rFonts w:cs="Sylfaen"/>
                <w:bCs/>
                <w:lang w:val="ru-RU"/>
              </w:rPr>
              <w:t>բաշխումը</w:t>
            </w:r>
            <w:r w:rsidRPr="00E628D7">
              <w:rPr>
                <w:rFonts w:cs="Sylfaen"/>
                <w:bCs/>
                <w:lang w:val="af-ZA"/>
              </w:rPr>
              <w:t xml:space="preserve"> </w:t>
            </w:r>
            <w:r w:rsidRPr="00E628D7">
              <w:rPr>
                <w:rFonts w:cs="Sylfaen"/>
                <w:bCs/>
                <w:i/>
                <w:lang w:val="ru-RU"/>
              </w:rPr>
              <w:t>սահմանափակելու</w:t>
            </w:r>
            <w:r w:rsidRPr="00E628D7">
              <w:rPr>
                <w:rFonts w:cs="Sylfaen"/>
                <w:bCs/>
                <w:lang w:val="af-ZA"/>
              </w:rPr>
              <w:t xml:space="preserve"> </w:t>
            </w:r>
            <w:r w:rsidRPr="00E628D7">
              <w:rPr>
                <w:rFonts w:cs="Sylfaen"/>
                <w:bCs/>
                <w:lang w:val="ru-RU"/>
              </w:rPr>
              <w:t>չափանիշները</w:t>
            </w:r>
            <w:r w:rsidRPr="00E628D7">
              <w:rPr>
                <w:rFonts w:cs="Sylfaen"/>
                <w:bCs/>
                <w:lang w:val="af-ZA"/>
              </w:rPr>
              <w:t xml:space="preserve">, </w:t>
            </w:r>
            <w:r w:rsidRPr="00E628D7">
              <w:rPr>
                <w:rFonts w:cs="Sylfaen"/>
                <w:bCs/>
                <w:lang w:val="ru-RU"/>
              </w:rPr>
              <w:t>մինչդեռ</w:t>
            </w:r>
            <w:r w:rsidRPr="00E628D7">
              <w:rPr>
                <w:rFonts w:cs="Sylfaen"/>
                <w:bCs/>
                <w:lang w:val="af-ZA"/>
              </w:rPr>
              <w:t xml:space="preserve">, </w:t>
            </w:r>
            <w:r w:rsidRPr="00E628D7">
              <w:rPr>
                <w:rFonts w:cs="Sylfaen"/>
                <w:bCs/>
                <w:lang w:val="ru-RU"/>
              </w:rPr>
              <w:t>անորոշ</w:t>
            </w:r>
            <w:r w:rsidRPr="00E628D7">
              <w:rPr>
                <w:rFonts w:cs="Sylfaen"/>
                <w:bCs/>
                <w:lang w:val="af-ZA"/>
              </w:rPr>
              <w:t xml:space="preserve"> </w:t>
            </w:r>
            <w:r w:rsidRPr="00E628D7">
              <w:rPr>
                <w:rFonts w:cs="Sylfaen"/>
                <w:bCs/>
                <w:lang w:val="ru-RU"/>
              </w:rPr>
              <w:t>է</w:t>
            </w:r>
            <w:r w:rsidRPr="00E628D7">
              <w:rPr>
                <w:rFonts w:cs="Sylfaen"/>
                <w:bCs/>
                <w:lang w:val="af-ZA"/>
              </w:rPr>
              <w:t xml:space="preserve">` </w:t>
            </w:r>
            <w:r w:rsidRPr="00E628D7">
              <w:rPr>
                <w:rFonts w:cs="Sylfaen"/>
                <w:bCs/>
                <w:lang w:val="ru-RU"/>
              </w:rPr>
              <w:t>ինչպես</w:t>
            </w:r>
            <w:r w:rsidRPr="00E628D7">
              <w:rPr>
                <w:rFonts w:cs="Sylfaen"/>
                <w:bCs/>
                <w:lang w:val="af-ZA"/>
              </w:rPr>
              <w:t xml:space="preserve"> </w:t>
            </w:r>
            <w:r w:rsidRPr="00E628D7">
              <w:rPr>
                <w:rFonts w:cs="Sylfaen"/>
                <w:bCs/>
                <w:lang w:val="ru-RU"/>
              </w:rPr>
              <w:t>պետք</w:t>
            </w:r>
            <w:r w:rsidRPr="00E628D7">
              <w:rPr>
                <w:rFonts w:cs="Sylfaen"/>
                <w:bCs/>
                <w:lang w:val="af-ZA"/>
              </w:rPr>
              <w:t xml:space="preserve"> </w:t>
            </w:r>
            <w:r w:rsidRPr="00E628D7">
              <w:rPr>
                <w:rFonts w:cs="Sylfaen"/>
                <w:bCs/>
                <w:lang w:val="ru-RU"/>
              </w:rPr>
              <w:t>է</w:t>
            </w:r>
            <w:r w:rsidRPr="00E628D7">
              <w:rPr>
                <w:rFonts w:cs="Sylfaen"/>
                <w:bCs/>
                <w:lang w:val="af-ZA"/>
              </w:rPr>
              <w:t xml:space="preserve"> որոշվեն </w:t>
            </w:r>
            <w:r w:rsidRPr="00E628D7">
              <w:rPr>
                <w:rFonts w:cs="Sylfaen"/>
                <w:bCs/>
                <w:lang w:val="ru-RU"/>
              </w:rPr>
              <w:t>շահութաբաժինների</w:t>
            </w:r>
            <w:r w:rsidRPr="00E628D7">
              <w:rPr>
                <w:rFonts w:cs="Sylfaen"/>
                <w:bCs/>
                <w:lang w:val="af-ZA"/>
              </w:rPr>
              <w:t xml:space="preserve"> </w:t>
            </w:r>
            <w:r w:rsidRPr="00E628D7">
              <w:rPr>
                <w:rFonts w:cs="Sylfaen"/>
                <w:bCs/>
                <w:lang w:val="ru-RU"/>
              </w:rPr>
              <w:t>բաշխումը</w:t>
            </w:r>
            <w:r w:rsidRPr="00E628D7">
              <w:rPr>
                <w:rFonts w:cs="Sylfaen"/>
                <w:bCs/>
                <w:lang w:val="af-ZA"/>
              </w:rPr>
              <w:t xml:space="preserve"> </w:t>
            </w:r>
            <w:r w:rsidRPr="00E628D7">
              <w:rPr>
                <w:rFonts w:cs="Sylfaen"/>
                <w:bCs/>
                <w:i/>
                <w:lang w:val="ru-RU"/>
              </w:rPr>
              <w:t>չթույլատրելու</w:t>
            </w:r>
            <w:r w:rsidRPr="00E628D7">
              <w:rPr>
                <w:rFonts w:cs="Sylfaen"/>
                <w:bCs/>
                <w:i/>
                <w:lang w:val="af-ZA"/>
              </w:rPr>
              <w:t xml:space="preserve"> </w:t>
            </w:r>
            <w:r w:rsidRPr="00E628D7">
              <w:rPr>
                <w:rFonts w:cs="Sylfaen"/>
                <w:bCs/>
                <w:lang w:val="ru-RU"/>
              </w:rPr>
              <w:t>չափանիշները</w:t>
            </w:r>
            <w:r w:rsidRPr="00E628D7">
              <w:rPr>
                <w:rFonts w:cs="Sylfaen"/>
                <w:bCs/>
                <w:lang w:val="af-ZA"/>
              </w:rPr>
              <w:t>:</w:t>
            </w:r>
          </w:p>
        </w:tc>
        <w:tc>
          <w:tcPr>
            <w:tcW w:w="3438" w:type="dxa"/>
          </w:tcPr>
          <w:p w:rsidR="00995A02" w:rsidRPr="00E628D7" w:rsidRDefault="00995A02" w:rsidP="0033587E">
            <w:pPr>
              <w:rPr>
                <w:sz w:val="24"/>
                <w:szCs w:val="24"/>
              </w:rPr>
            </w:pPr>
            <w:r w:rsidRPr="00E628D7">
              <w:rPr>
                <w:sz w:val="24"/>
                <w:szCs w:val="24"/>
              </w:rPr>
              <w:lastRenderedPageBreak/>
              <w:t xml:space="preserve">Ընդունելի է: Նշված հոդվածը խմբագրվել է: </w:t>
            </w:r>
          </w:p>
        </w:tc>
      </w:tr>
      <w:tr w:rsidR="00995A02" w:rsidRPr="00E628D7" w:rsidTr="0024664B">
        <w:tc>
          <w:tcPr>
            <w:tcW w:w="648" w:type="dxa"/>
          </w:tcPr>
          <w:p w:rsidR="00995A02" w:rsidRPr="00E628D7" w:rsidRDefault="00995A02" w:rsidP="0024664B">
            <w:pPr>
              <w:jc w:val="center"/>
              <w:rPr>
                <w:sz w:val="24"/>
                <w:szCs w:val="24"/>
              </w:rPr>
            </w:pPr>
          </w:p>
        </w:tc>
        <w:tc>
          <w:tcPr>
            <w:tcW w:w="3420" w:type="dxa"/>
          </w:tcPr>
          <w:p w:rsidR="00995A02" w:rsidRPr="00E628D7" w:rsidRDefault="00995A02" w:rsidP="0024664B">
            <w:pPr>
              <w:jc w:val="center"/>
              <w:rPr>
                <w:sz w:val="24"/>
                <w:szCs w:val="24"/>
              </w:rPr>
            </w:pPr>
          </w:p>
        </w:tc>
        <w:tc>
          <w:tcPr>
            <w:tcW w:w="5670" w:type="dxa"/>
          </w:tcPr>
          <w:p w:rsidR="00995A02" w:rsidRPr="00E628D7" w:rsidRDefault="00995A02" w:rsidP="00AE3C2E">
            <w:pPr>
              <w:spacing w:line="360" w:lineRule="auto"/>
              <w:ind w:firstLine="708"/>
              <w:jc w:val="both"/>
              <w:rPr>
                <w:rFonts w:cs="Sylfaen"/>
                <w:b/>
                <w:color w:val="000000"/>
                <w:lang w:val="af-ZA"/>
              </w:rPr>
            </w:pPr>
            <w:r w:rsidRPr="00E628D7">
              <w:rPr>
                <w:rFonts w:cs="Sylfaen"/>
                <w:color w:val="000000"/>
                <w:lang w:val="af-ZA"/>
              </w:rPr>
              <w:t>13. Նախագծի 5-րդ հոդված</w:t>
            </w:r>
            <w:r w:rsidRPr="00E628D7">
              <w:rPr>
                <w:rFonts w:cs="Sylfaen"/>
                <w:color w:val="000000"/>
                <w:lang w:val="ru-RU"/>
              </w:rPr>
              <w:t>ի</w:t>
            </w:r>
            <w:r w:rsidRPr="00E628D7">
              <w:rPr>
                <w:rFonts w:cs="Sylfaen"/>
                <w:color w:val="000000"/>
                <w:lang w:val="af-ZA"/>
              </w:rPr>
              <w:t xml:space="preserve"> 2-</w:t>
            </w:r>
            <w:r w:rsidRPr="00E628D7">
              <w:rPr>
                <w:rFonts w:cs="Sylfaen"/>
                <w:color w:val="000000"/>
                <w:lang w:val="ru-RU"/>
              </w:rPr>
              <w:t>րդ</w:t>
            </w:r>
            <w:r w:rsidRPr="00E628D7">
              <w:rPr>
                <w:rFonts w:cs="Sylfaen"/>
                <w:color w:val="000000"/>
                <w:lang w:val="af-ZA"/>
              </w:rPr>
              <w:t xml:space="preserve"> </w:t>
            </w:r>
            <w:r w:rsidRPr="00E628D7">
              <w:rPr>
                <w:rFonts w:cs="Sylfaen"/>
                <w:color w:val="000000"/>
              </w:rPr>
              <w:t>մասում</w:t>
            </w:r>
            <w:r w:rsidRPr="00E628D7">
              <w:rPr>
                <w:rFonts w:cs="Sylfaen"/>
                <w:color w:val="000000"/>
                <w:lang w:val="af-ZA"/>
              </w:rPr>
              <w:t xml:space="preserve"> «</w:t>
            </w:r>
            <w:r w:rsidRPr="00E628D7">
              <w:rPr>
                <w:rFonts w:cs="Sylfaen"/>
                <w:color w:val="000000"/>
              </w:rPr>
              <w:t>համակարգային</w:t>
            </w:r>
            <w:r w:rsidRPr="00E628D7">
              <w:rPr>
                <w:rFonts w:cs="Sylfaen"/>
                <w:color w:val="000000"/>
                <w:lang w:val="af-ZA"/>
              </w:rPr>
              <w:t xml:space="preserve"> </w:t>
            </w:r>
            <w:r w:rsidRPr="00E628D7">
              <w:rPr>
                <w:rFonts w:cs="Sylfaen"/>
                <w:color w:val="000000"/>
              </w:rPr>
              <w:t>նշանակություն</w:t>
            </w:r>
            <w:r w:rsidRPr="00E628D7">
              <w:rPr>
                <w:rFonts w:cs="Sylfaen"/>
                <w:color w:val="000000"/>
                <w:lang w:val="af-ZA"/>
              </w:rPr>
              <w:t xml:space="preserve"> ունեցող բանկ» </w:t>
            </w:r>
            <w:r w:rsidRPr="00E628D7">
              <w:rPr>
                <w:rFonts w:cs="Sylfaen"/>
                <w:color w:val="000000"/>
                <w:lang w:val="af-ZA"/>
              </w:rPr>
              <w:lastRenderedPageBreak/>
              <w:t>բառերից հետո անհրաժեշտ է լրացնել «բառերը» եզրույթը</w:t>
            </w:r>
            <w:r w:rsidRPr="00E628D7">
              <w:rPr>
                <w:rFonts w:cs="Sylfaen"/>
                <w:b/>
                <w:color w:val="000000"/>
                <w:lang w:val="af-ZA"/>
              </w:rPr>
              <w:t>:</w:t>
            </w:r>
          </w:p>
        </w:tc>
        <w:tc>
          <w:tcPr>
            <w:tcW w:w="3438" w:type="dxa"/>
          </w:tcPr>
          <w:p w:rsidR="00995A02" w:rsidRPr="00E628D7" w:rsidRDefault="00995A02" w:rsidP="0033587E">
            <w:pPr>
              <w:rPr>
                <w:sz w:val="24"/>
                <w:szCs w:val="24"/>
              </w:rPr>
            </w:pPr>
            <w:r w:rsidRPr="00E628D7">
              <w:rPr>
                <w:sz w:val="24"/>
                <w:szCs w:val="24"/>
              </w:rPr>
              <w:lastRenderedPageBreak/>
              <w:t xml:space="preserve">Ընդունելի է: Դրույթը խմբագրվել է: </w:t>
            </w:r>
          </w:p>
        </w:tc>
      </w:tr>
      <w:tr w:rsidR="00AE3C2E" w:rsidRPr="00E628D7" w:rsidTr="0024664B">
        <w:tc>
          <w:tcPr>
            <w:tcW w:w="648" w:type="dxa"/>
          </w:tcPr>
          <w:p w:rsidR="00AE3C2E" w:rsidRPr="00E628D7" w:rsidRDefault="00AE3C2E" w:rsidP="0024664B">
            <w:pPr>
              <w:jc w:val="center"/>
              <w:rPr>
                <w:sz w:val="24"/>
                <w:szCs w:val="24"/>
              </w:rPr>
            </w:pPr>
          </w:p>
        </w:tc>
        <w:tc>
          <w:tcPr>
            <w:tcW w:w="3420" w:type="dxa"/>
          </w:tcPr>
          <w:p w:rsidR="00AE3C2E" w:rsidRPr="00E628D7" w:rsidRDefault="00AE3C2E" w:rsidP="0024664B">
            <w:pPr>
              <w:jc w:val="center"/>
              <w:rPr>
                <w:sz w:val="24"/>
                <w:szCs w:val="24"/>
              </w:rPr>
            </w:pPr>
          </w:p>
        </w:tc>
        <w:tc>
          <w:tcPr>
            <w:tcW w:w="5670" w:type="dxa"/>
          </w:tcPr>
          <w:p w:rsidR="00AE3C2E" w:rsidRPr="00E628D7" w:rsidRDefault="00AE3C2E" w:rsidP="00AE3C2E">
            <w:pPr>
              <w:spacing w:line="360" w:lineRule="auto"/>
              <w:ind w:firstLine="708"/>
              <w:jc w:val="both"/>
              <w:rPr>
                <w:rFonts w:cs="Sylfaen"/>
                <w:color w:val="000000"/>
                <w:lang w:val="af-ZA"/>
              </w:rPr>
            </w:pPr>
            <w:r w:rsidRPr="00E628D7">
              <w:rPr>
                <w:rFonts w:cs="Sylfaen"/>
                <w:color w:val="000000"/>
                <w:lang w:val="af-ZA"/>
              </w:rPr>
              <w:t>14. Նախագծի 5-րդ հոդվածի 3-</w:t>
            </w:r>
            <w:r w:rsidRPr="00E628D7">
              <w:rPr>
                <w:rFonts w:cs="Sylfaen"/>
                <w:color w:val="000000"/>
              </w:rPr>
              <w:t>րդ</w:t>
            </w:r>
            <w:r w:rsidRPr="00E628D7">
              <w:rPr>
                <w:rFonts w:cs="Sylfaen"/>
                <w:color w:val="000000"/>
                <w:lang w:val="af-ZA"/>
              </w:rPr>
              <w:t xml:space="preserve"> </w:t>
            </w:r>
            <w:r w:rsidRPr="00E628D7">
              <w:rPr>
                <w:rFonts w:cs="Sylfaen"/>
                <w:color w:val="000000"/>
                <w:lang w:val="ru-RU"/>
              </w:rPr>
              <w:t>մասով</w:t>
            </w:r>
            <w:r w:rsidRPr="00E628D7">
              <w:rPr>
                <w:rFonts w:cs="Sylfaen"/>
                <w:color w:val="000000"/>
                <w:lang w:val="af-ZA"/>
              </w:rPr>
              <w:t xml:space="preserve"> նախատեսվող կարգավորման կապակցությամբ գտնում ենք, որ </w:t>
            </w:r>
            <w:r w:rsidRPr="00E628D7">
              <w:rPr>
                <w:lang w:val="af-ZA"/>
              </w:rPr>
              <w:t>նշված դրույթում օգտագործվող «էական» եզրույթը, լինելով գնահատողական բնույթի հասկացություն, անորոշություն է առաջացնում և ունի հստակեցման կարիք: Հատկապես հաշվի առնելով այն հանգամանքը, որ Նախագծով նախատեսվում է համակարգային նշանակություն ունեցող ընկերությունների համար այլ ընկերությունների համեմատությամբ առավել խիստ հիմնական տնտեսական նորմատիվներ սահմանելու հնարավորություն` գտնում ենք, որ անհրաժեշտ է հստակեցնել այն չափանիշները, որոնցից ելնելով կարող է գնահատվել Հայաստանի Հանրապետության ֆինանսական համակարգի և (կամ) տնտեսության այլ հատվածների վրա այդ ընկերությունների ֆինանսական վիճակի վատթարացման, անվճարունակության, սնանկացման կամ լուծարման ազդեցությունը:</w:t>
            </w:r>
          </w:p>
        </w:tc>
        <w:tc>
          <w:tcPr>
            <w:tcW w:w="3438" w:type="dxa"/>
          </w:tcPr>
          <w:p w:rsidR="00AE3C2E" w:rsidRPr="00E628D7" w:rsidRDefault="00AE3C2E" w:rsidP="0033587E">
            <w:pPr>
              <w:rPr>
                <w:sz w:val="24"/>
                <w:szCs w:val="24"/>
              </w:rPr>
            </w:pPr>
            <w:r w:rsidRPr="00E628D7">
              <w:rPr>
                <w:sz w:val="24"/>
                <w:szCs w:val="24"/>
              </w:rPr>
              <w:t xml:space="preserve">Ընդունելի է: Դրույթը հստակեցվել է: </w:t>
            </w:r>
          </w:p>
        </w:tc>
      </w:tr>
      <w:tr w:rsidR="00AE3C2E" w:rsidRPr="00E628D7" w:rsidTr="0024664B">
        <w:tc>
          <w:tcPr>
            <w:tcW w:w="648" w:type="dxa"/>
          </w:tcPr>
          <w:p w:rsidR="00AE3C2E" w:rsidRPr="00E628D7" w:rsidRDefault="00AE3C2E" w:rsidP="0024664B">
            <w:pPr>
              <w:jc w:val="center"/>
              <w:rPr>
                <w:sz w:val="24"/>
                <w:szCs w:val="24"/>
              </w:rPr>
            </w:pPr>
          </w:p>
        </w:tc>
        <w:tc>
          <w:tcPr>
            <w:tcW w:w="3420" w:type="dxa"/>
          </w:tcPr>
          <w:p w:rsidR="00AE3C2E" w:rsidRPr="00E628D7" w:rsidRDefault="00AE3C2E" w:rsidP="0024664B">
            <w:pPr>
              <w:jc w:val="center"/>
              <w:rPr>
                <w:sz w:val="24"/>
                <w:szCs w:val="24"/>
              </w:rPr>
            </w:pPr>
          </w:p>
        </w:tc>
        <w:tc>
          <w:tcPr>
            <w:tcW w:w="5670" w:type="dxa"/>
          </w:tcPr>
          <w:p w:rsidR="00AE3C2E" w:rsidRPr="00E628D7" w:rsidRDefault="00AE3C2E" w:rsidP="00AE3C2E">
            <w:pPr>
              <w:spacing w:line="360" w:lineRule="auto"/>
              <w:ind w:firstLine="708"/>
              <w:jc w:val="both"/>
              <w:rPr>
                <w:rFonts w:cs="Sylfaen"/>
                <w:color w:val="000000"/>
                <w:lang w:val="af-ZA"/>
              </w:rPr>
            </w:pPr>
            <w:r w:rsidRPr="00E628D7">
              <w:rPr>
                <w:rFonts w:cs="Sylfaen"/>
                <w:color w:val="000000"/>
                <w:lang w:val="af-ZA"/>
              </w:rPr>
              <w:t>15. Նախագծի 6-րդ հոդվածով նախատեսվում է ուժը կորցրած ճանաչել Օրենքի 45-50-րդ և 52-րդ հոդվածները:</w:t>
            </w:r>
          </w:p>
          <w:p w:rsidR="00AE3C2E" w:rsidRPr="00E628D7" w:rsidRDefault="00AE3C2E" w:rsidP="00AE3C2E">
            <w:pPr>
              <w:spacing w:line="360" w:lineRule="auto"/>
              <w:ind w:firstLine="708"/>
              <w:jc w:val="both"/>
              <w:rPr>
                <w:rFonts w:cs="Sylfaen"/>
                <w:color w:val="000000"/>
                <w:lang w:val="af-ZA"/>
              </w:rPr>
            </w:pPr>
            <w:r w:rsidRPr="00E628D7">
              <w:rPr>
                <w:rFonts w:cs="Sylfaen"/>
                <w:color w:val="000000"/>
                <w:lang w:val="af-ZA"/>
              </w:rPr>
              <w:t xml:space="preserve">Նշված հոդվածները համապատասխանաբար պարզաբանում են Օրենքի 44-րդ հոդվածի 1-ին մասում թվարկված` բանկերի համար սահմանվող հիմնական տնտեսական նորմատիվների բովանդակությունը, ուստի գտնում ենք, որ այդ հոդվածներն ուժը կորցրած ճանաչելու պարագայում կարող է առաջանալ հիշյալ նորմատիվների մեկնաբանման անորոշություն: Նույն նկատառումից ելնելով և նկատի ունենալով «Իրավական ակտերի մասին» ՀՀ օրենքի 42-րդ հոդվածի 1-ին մասի դրույթները` անհրաժեշտ է </w:t>
            </w:r>
            <w:r w:rsidRPr="00E628D7">
              <w:rPr>
                <w:rFonts w:cs="Sylfaen"/>
                <w:color w:val="000000"/>
                <w:lang w:val="ru-RU"/>
              </w:rPr>
              <w:t>Օրենքում</w:t>
            </w:r>
            <w:r w:rsidRPr="00E628D7">
              <w:rPr>
                <w:rFonts w:cs="Sylfaen"/>
                <w:color w:val="000000"/>
                <w:lang w:val="af-ZA"/>
              </w:rPr>
              <w:t xml:space="preserve"> պարզաբանել նաև Նախագծով առաջարկվող «լևերիջի» նորմատիվի բովանդակությունը:</w:t>
            </w:r>
          </w:p>
        </w:tc>
        <w:tc>
          <w:tcPr>
            <w:tcW w:w="3438" w:type="dxa"/>
          </w:tcPr>
          <w:p w:rsidR="00AE3C2E" w:rsidRPr="00E628D7" w:rsidRDefault="00AE3C2E" w:rsidP="0033587E">
            <w:pPr>
              <w:rPr>
                <w:sz w:val="24"/>
                <w:szCs w:val="24"/>
              </w:rPr>
            </w:pPr>
            <w:r w:rsidRPr="00E628D7">
              <w:rPr>
                <w:sz w:val="24"/>
                <w:szCs w:val="24"/>
              </w:rPr>
              <w:t xml:space="preserve">Քննարկվել է նշված նախագիծը ՀՀ արդարադատության նախարարության ներկայացուցիչների հետ և նշվել է, որ բանկերի տնտեսական </w:t>
            </w:r>
            <w:r w:rsidR="000238D6" w:rsidRPr="00E628D7">
              <w:rPr>
                <w:sz w:val="24"/>
                <w:szCs w:val="24"/>
              </w:rPr>
              <w:t>նորմատիվների տարրերի սահմանումը օրենքում չի ապահովում ֆինանսական համակարգի պահանջները:</w:t>
            </w:r>
          </w:p>
          <w:p w:rsidR="000238D6" w:rsidRPr="00E628D7" w:rsidRDefault="000238D6" w:rsidP="0033587E">
            <w:pPr>
              <w:rPr>
                <w:sz w:val="24"/>
                <w:szCs w:val="24"/>
              </w:rPr>
            </w:pPr>
            <w:r w:rsidRPr="00E628D7">
              <w:rPr>
                <w:sz w:val="24"/>
                <w:szCs w:val="24"/>
              </w:rPr>
              <w:t xml:space="preserve">Գործող դրույթ է, որ տնտեսական նորմատիվների տարրերը սահմանվում են ՀՀ կենտրոնական բանկի կողմից: Նշված դրույթը հակասում է նորմատիվների բովանդակությունը սահմանող դրույթներին: </w:t>
            </w:r>
          </w:p>
        </w:tc>
      </w:tr>
      <w:tr w:rsidR="00164452" w:rsidRPr="00E628D7" w:rsidTr="0024664B">
        <w:tc>
          <w:tcPr>
            <w:tcW w:w="648" w:type="dxa"/>
          </w:tcPr>
          <w:p w:rsidR="00164452" w:rsidRPr="00E628D7" w:rsidRDefault="00164452" w:rsidP="0024664B">
            <w:pPr>
              <w:jc w:val="center"/>
              <w:rPr>
                <w:sz w:val="24"/>
                <w:szCs w:val="24"/>
              </w:rPr>
            </w:pPr>
          </w:p>
        </w:tc>
        <w:tc>
          <w:tcPr>
            <w:tcW w:w="3420" w:type="dxa"/>
          </w:tcPr>
          <w:p w:rsidR="00164452" w:rsidRPr="00E628D7" w:rsidRDefault="00164452" w:rsidP="0024664B">
            <w:pPr>
              <w:jc w:val="center"/>
              <w:rPr>
                <w:sz w:val="24"/>
                <w:szCs w:val="24"/>
              </w:rPr>
            </w:pPr>
          </w:p>
        </w:tc>
        <w:tc>
          <w:tcPr>
            <w:tcW w:w="5670" w:type="dxa"/>
          </w:tcPr>
          <w:p w:rsidR="00164452" w:rsidRPr="00E628D7" w:rsidRDefault="00164452" w:rsidP="00164452">
            <w:pPr>
              <w:spacing w:line="360" w:lineRule="auto"/>
              <w:ind w:firstLine="708"/>
              <w:jc w:val="both"/>
              <w:rPr>
                <w:rFonts w:cs="Sylfaen"/>
                <w:color w:val="000000"/>
                <w:lang w:val="af-ZA"/>
              </w:rPr>
            </w:pPr>
            <w:r w:rsidRPr="00E628D7">
              <w:rPr>
                <w:rFonts w:cs="Sylfaen"/>
                <w:color w:val="000000"/>
                <w:lang w:val="af-ZA"/>
              </w:rPr>
              <w:t>Նախագծի 10-րդ հոդվածում «հրապարակման» բառից առաջ անհրաժեշտ է լրացնել «պաշտոնական» բառը` նկատի ունենալով «Իրավական ակտերի մասին» ՀՀ օրենքի 46-րդ հոդվածի դրույթները:</w:t>
            </w:r>
          </w:p>
        </w:tc>
        <w:tc>
          <w:tcPr>
            <w:tcW w:w="3438" w:type="dxa"/>
          </w:tcPr>
          <w:p w:rsidR="00164452" w:rsidRPr="00E628D7" w:rsidRDefault="00164452" w:rsidP="0033587E">
            <w:pPr>
              <w:rPr>
                <w:sz w:val="24"/>
                <w:szCs w:val="24"/>
              </w:rPr>
            </w:pPr>
            <w:r w:rsidRPr="00E628D7">
              <w:rPr>
                <w:sz w:val="24"/>
                <w:szCs w:val="24"/>
              </w:rPr>
              <w:t xml:space="preserve">Ընդունելի է: </w:t>
            </w:r>
          </w:p>
        </w:tc>
      </w:tr>
      <w:tr w:rsidR="00164452" w:rsidRPr="00E628D7" w:rsidTr="0024664B">
        <w:tc>
          <w:tcPr>
            <w:tcW w:w="648" w:type="dxa"/>
          </w:tcPr>
          <w:p w:rsidR="00164452" w:rsidRPr="00E628D7" w:rsidRDefault="00164452" w:rsidP="0024664B">
            <w:pPr>
              <w:jc w:val="center"/>
              <w:rPr>
                <w:sz w:val="24"/>
                <w:szCs w:val="24"/>
              </w:rPr>
            </w:pPr>
          </w:p>
        </w:tc>
        <w:tc>
          <w:tcPr>
            <w:tcW w:w="3420" w:type="dxa"/>
          </w:tcPr>
          <w:p w:rsidR="00164452" w:rsidRPr="00E628D7" w:rsidRDefault="00164452" w:rsidP="0024664B">
            <w:pPr>
              <w:jc w:val="center"/>
              <w:rPr>
                <w:sz w:val="24"/>
                <w:szCs w:val="24"/>
              </w:rPr>
            </w:pPr>
          </w:p>
        </w:tc>
        <w:tc>
          <w:tcPr>
            <w:tcW w:w="5670" w:type="dxa"/>
          </w:tcPr>
          <w:p w:rsidR="00164452" w:rsidRPr="00E628D7" w:rsidRDefault="00164452" w:rsidP="00164452">
            <w:pPr>
              <w:spacing w:line="360" w:lineRule="auto"/>
              <w:ind w:firstLine="708"/>
              <w:jc w:val="both"/>
              <w:rPr>
                <w:rFonts w:cs="Sylfaen"/>
                <w:b/>
                <w:color w:val="FF0000"/>
                <w:lang w:val="af-ZA"/>
              </w:rPr>
            </w:pPr>
            <w:r w:rsidRPr="00E628D7">
              <w:rPr>
                <w:rFonts w:cs="Sylfaen"/>
                <w:color w:val="000000"/>
                <w:lang w:val="af-ZA"/>
              </w:rPr>
              <w:t>««Բանկերի, վարկային կազմակերպությունների, ներդրումային ընկերությունների և ապահովագրական ընկերությունների սնանկության մասին» Հայաստանի Հանրապետության օրենքում լրացումներ և փոփոխություններ կատարելու մասին» Հայաստանի Հանրապետության օրենքի նախագծի (այսուհետ` Նախագիծ) անվանումն անհրաժեշտ է համապատասխանեցնել փոփոխվող օրենքի անվանմանը, մասնավորապես, «ներդրումային ընկերությունների» բառերից հետո լրացնել «ներդրումային ֆոնդի կառավարիչների» բառերը:</w:t>
            </w:r>
          </w:p>
        </w:tc>
        <w:tc>
          <w:tcPr>
            <w:tcW w:w="3438" w:type="dxa"/>
          </w:tcPr>
          <w:p w:rsidR="00164452" w:rsidRPr="00E628D7" w:rsidRDefault="00164452" w:rsidP="0033587E">
            <w:pPr>
              <w:rPr>
                <w:sz w:val="24"/>
                <w:szCs w:val="24"/>
              </w:rPr>
            </w:pPr>
            <w:r w:rsidRPr="00E628D7">
              <w:rPr>
                <w:sz w:val="24"/>
                <w:szCs w:val="24"/>
              </w:rPr>
              <w:t>Ընդունելի է:</w:t>
            </w:r>
          </w:p>
        </w:tc>
      </w:tr>
      <w:tr w:rsidR="007776D5" w:rsidRPr="00E628D7" w:rsidTr="0024664B">
        <w:tc>
          <w:tcPr>
            <w:tcW w:w="648" w:type="dxa"/>
          </w:tcPr>
          <w:p w:rsidR="007776D5" w:rsidRPr="00E628D7" w:rsidRDefault="007776D5" w:rsidP="0024664B">
            <w:pPr>
              <w:jc w:val="center"/>
              <w:rPr>
                <w:sz w:val="24"/>
                <w:szCs w:val="24"/>
              </w:rPr>
            </w:pPr>
          </w:p>
        </w:tc>
        <w:tc>
          <w:tcPr>
            <w:tcW w:w="3420" w:type="dxa"/>
          </w:tcPr>
          <w:p w:rsidR="007776D5" w:rsidRPr="00E628D7" w:rsidRDefault="007776D5" w:rsidP="0024664B">
            <w:pPr>
              <w:jc w:val="center"/>
              <w:rPr>
                <w:sz w:val="24"/>
                <w:szCs w:val="24"/>
              </w:rPr>
            </w:pPr>
          </w:p>
        </w:tc>
        <w:tc>
          <w:tcPr>
            <w:tcW w:w="5670" w:type="dxa"/>
          </w:tcPr>
          <w:p w:rsidR="007776D5" w:rsidRPr="00E628D7" w:rsidRDefault="007776D5" w:rsidP="007776D5">
            <w:pPr>
              <w:spacing w:line="360" w:lineRule="auto"/>
              <w:ind w:firstLine="567"/>
              <w:jc w:val="both"/>
              <w:rPr>
                <w:rFonts w:cs="Sylfaen"/>
                <w:color w:val="000000"/>
                <w:lang w:val="af-ZA"/>
              </w:rPr>
            </w:pPr>
            <w:r w:rsidRPr="00E628D7">
              <w:rPr>
                <w:rFonts w:cs="Sylfaen"/>
                <w:color w:val="000000"/>
                <w:lang w:val="af-ZA"/>
              </w:rPr>
              <w:t>Նախագծի 2-րդ հոդվածում «հրապարակման» բառից առաջ անհրաժեշտ է լրացնել «պաշտոնական» բառը` նկատի ունենալով «Իրավական ակտերի մասին» ՀՀ օրենքի 46-րդ հոդվածի դրույթները:</w:t>
            </w:r>
          </w:p>
        </w:tc>
        <w:tc>
          <w:tcPr>
            <w:tcW w:w="3438" w:type="dxa"/>
          </w:tcPr>
          <w:p w:rsidR="007776D5" w:rsidRPr="00E628D7" w:rsidRDefault="007776D5" w:rsidP="0033587E">
            <w:pPr>
              <w:rPr>
                <w:sz w:val="24"/>
                <w:szCs w:val="24"/>
              </w:rPr>
            </w:pPr>
            <w:r w:rsidRPr="00E628D7">
              <w:rPr>
                <w:sz w:val="24"/>
                <w:szCs w:val="24"/>
              </w:rPr>
              <w:t>Ընդունելի է:</w:t>
            </w:r>
          </w:p>
        </w:tc>
      </w:tr>
      <w:tr w:rsidR="007776D5" w:rsidRPr="00E628D7" w:rsidTr="0024664B">
        <w:tc>
          <w:tcPr>
            <w:tcW w:w="648" w:type="dxa"/>
          </w:tcPr>
          <w:p w:rsidR="007776D5" w:rsidRPr="00E628D7" w:rsidRDefault="007776D5" w:rsidP="0024664B">
            <w:pPr>
              <w:jc w:val="center"/>
              <w:rPr>
                <w:sz w:val="24"/>
                <w:szCs w:val="24"/>
              </w:rPr>
            </w:pPr>
          </w:p>
        </w:tc>
        <w:tc>
          <w:tcPr>
            <w:tcW w:w="3420" w:type="dxa"/>
          </w:tcPr>
          <w:p w:rsidR="007776D5" w:rsidRPr="00E628D7" w:rsidRDefault="007776D5" w:rsidP="0024664B">
            <w:pPr>
              <w:jc w:val="center"/>
              <w:rPr>
                <w:sz w:val="24"/>
                <w:szCs w:val="24"/>
              </w:rPr>
            </w:pPr>
          </w:p>
        </w:tc>
        <w:tc>
          <w:tcPr>
            <w:tcW w:w="5670" w:type="dxa"/>
          </w:tcPr>
          <w:p w:rsidR="007776D5" w:rsidRPr="00E628D7" w:rsidRDefault="007776D5" w:rsidP="007776D5">
            <w:pPr>
              <w:spacing w:line="360" w:lineRule="auto"/>
              <w:ind w:firstLine="567"/>
              <w:jc w:val="both"/>
              <w:rPr>
                <w:rFonts w:cs="Sylfaen"/>
                <w:color w:val="000000"/>
                <w:lang w:val="af-ZA"/>
              </w:rPr>
            </w:pPr>
            <w:r w:rsidRPr="00E628D7">
              <w:rPr>
                <w:rFonts w:cs="Sylfaen"/>
                <w:color w:val="000000"/>
                <w:lang w:val="af-ZA"/>
              </w:rPr>
              <w:t xml:space="preserve">Հարկ է նշել, որ Նախագծերում առկա են պարզեցման, հստակեցման, լրացուցիչ հիմնավորման կարիք ունեցող դրույթներ, և այդ առումով Նախագծերին կից ներկայացված հիմնավորումներն անհրաժեշտ է </w:t>
            </w:r>
            <w:r w:rsidRPr="00E628D7">
              <w:rPr>
                <w:rFonts w:cs="Sylfaen"/>
                <w:color w:val="000000"/>
                <w:lang w:val="af-ZA"/>
              </w:rPr>
              <w:lastRenderedPageBreak/>
              <w:t xml:space="preserve">համապատասխանեցնել </w:t>
            </w:r>
            <w:r w:rsidRPr="00E628D7">
              <w:rPr>
                <w:color w:val="000000"/>
                <w:shd w:val="clear" w:color="auto" w:fill="FFFFFF"/>
                <w:lang w:val="af-ZA"/>
              </w:rPr>
              <w:t>ՀՀ կառավարության 2012 թվականի ապրիլի 5-ի «Իրավական ակտերի նախագծերի մշակման մեթոդական ցուցումներին հավանություն տալու և Հայաստանի Հանրապետության կառավարության 2010 թվականի հոկտեմբերի 28-ի N 42 արձանագրային որոշումն ուժը կորցրած ճանաչելու մասին» N 13 արձանագրային որոշման հավելվածի պահանջներին:</w:t>
            </w:r>
          </w:p>
        </w:tc>
        <w:tc>
          <w:tcPr>
            <w:tcW w:w="3438" w:type="dxa"/>
          </w:tcPr>
          <w:p w:rsidR="007776D5" w:rsidRPr="00E628D7" w:rsidRDefault="007776D5" w:rsidP="0033587E">
            <w:pPr>
              <w:rPr>
                <w:sz w:val="24"/>
                <w:szCs w:val="24"/>
              </w:rPr>
            </w:pPr>
            <w:r w:rsidRPr="00E628D7">
              <w:rPr>
                <w:sz w:val="24"/>
                <w:szCs w:val="24"/>
              </w:rPr>
              <w:lastRenderedPageBreak/>
              <w:t xml:space="preserve">Ընդունելի է: </w:t>
            </w:r>
          </w:p>
        </w:tc>
      </w:tr>
      <w:tr w:rsidR="00C77402" w:rsidRPr="00E628D7" w:rsidTr="0024664B">
        <w:tc>
          <w:tcPr>
            <w:tcW w:w="648" w:type="dxa"/>
          </w:tcPr>
          <w:p w:rsidR="00C77402" w:rsidRPr="00E628D7" w:rsidRDefault="00C77402" w:rsidP="0024664B">
            <w:pPr>
              <w:jc w:val="center"/>
              <w:rPr>
                <w:sz w:val="24"/>
                <w:szCs w:val="24"/>
              </w:rPr>
            </w:pPr>
          </w:p>
        </w:tc>
        <w:tc>
          <w:tcPr>
            <w:tcW w:w="3420" w:type="dxa"/>
          </w:tcPr>
          <w:p w:rsidR="00C77402" w:rsidRPr="00E628D7" w:rsidRDefault="00C77402" w:rsidP="0024664B">
            <w:pPr>
              <w:jc w:val="center"/>
              <w:rPr>
                <w:sz w:val="24"/>
                <w:szCs w:val="24"/>
              </w:rPr>
            </w:pPr>
          </w:p>
        </w:tc>
        <w:tc>
          <w:tcPr>
            <w:tcW w:w="5670" w:type="dxa"/>
          </w:tcPr>
          <w:p w:rsidR="00C77402" w:rsidRDefault="00C77402" w:rsidP="00C77402">
            <w:pPr>
              <w:widowControl w:val="0"/>
              <w:spacing w:line="360" w:lineRule="auto"/>
              <w:ind w:firstLine="567"/>
              <w:jc w:val="both"/>
              <w:textAlignment w:val="baseline"/>
              <w:rPr>
                <w:sz w:val="24"/>
                <w:szCs w:val="24"/>
                <w:lang w:val="fr-FR"/>
              </w:rPr>
            </w:pPr>
            <w:r w:rsidRPr="00A37063">
              <w:rPr>
                <w:sz w:val="24"/>
                <w:szCs w:val="24"/>
                <w:lang w:val="fr-FR"/>
              </w:rPr>
              <w:t>««Բանկերի և բանկային գործունեության մասին» Հայաստանի Հանրապետության օրենքում փոփոխություններ և լրացումներ կատարելու մասին» Հայաստանի Հանրապետության օրենքի լրամշակված նախագծի</w:t>
            </w:r>
            <w:r>
              <w:rPr>
                <w:sz w:val="24"/>
                <w:szCs w:val="24"/>
                <w:lang w:val="fr-FR"/>
              </w:rPr>
              <w:t xml:space="preserve"> 4-րդ հոդվածով սահմանվում են պարգևատրումների և խրախուսական այլ վճարումների վճարման սահմանափակման հիմքերը: Այսպես, նշված հոդվածի 1-ին մասի համաձայն` Կենտրոնական բանկը պարգևատրումների և խրախուսական այլ </w:t>
            </w:r>
            <w:r>
              <w:rPr>
                <w:sz w:val="24"/>
                <w:szCs w:val="24"/>
                <w:lang w:val="fr-FR"/>
              </w:rPr>
              <w:lastRenderedPageBreak/>
              <w:t xml:space="preserve">վճարումների վճարումը, ի թիվս հոդվածում թվարկված այլ հիմքերի, կարող է սահմանափակել նաև Կենտրոնական բանկի կողմից օրենքով սահմանված կարգով տրված հանձնարարականը բանկի կողմից չկատարելու դեպքում: Այս կապակցությամբ գտնում ենք, որ նշված հիմքի նախատեսումը խնդրահարույց է` հետևյալ հիմնավորմամբ. «Բանկերի և բանկային գործունեության մասին» ՀՀ օրենքի 60-րդ հոդվածի համաձայն` Կենտրոնական բանկի կողմից օրենքով սահմանված կարգով տրված հանձնարարականը չկատարելը </w:t>
            </w:r>
            <w:r w:rsidRPr="00224091">
              <w:rPr>
                <w:i/>
                <w:sz w:val="24"/>
                <w:szCs w:val="24"/>
                <w:lang w:val="fr-FR"/>
              </w:rPr>
              <w:t>բանկի</w:t>
            </w:r>
            <w:r>
              <w:rPr>
                <w:sz w:val="24"/>
                <w:szCs w:val="24"/>
                <w:lang w:val="fr-FR"/>
              </w:rPr>
              <w:t xml:space="preserve"> նկատմամբ պատժամիջոցներ կիրառելու հիմք է: Նույն օրենքի 64-րդ հոդվածի համաձայն` Կենտրոնական բանկի հանձնարարականը չկատարելը </w:t>
            </w:r>
            <w:r w:rsidRPr="008D694A">
              <w:rPr>
                <w:i/>
                <w:sz w:val="24"/>
                <w:szCs w:val="24"/>
                <w:lang w:val="fr-FR"/>
              </w:rPr>
              <w:t>բանկի ղեկավարների</w:t>
            </w:r>
            <w:r>
              <w:rPr>
                <w:sz w:val="24"/>
                <w:szCs w:val="24"/>
                <w:lang w:val="fr-FR"/>
              </w:rPr>
              <w:t>ն որակավորման վկայականից զրկելու հիմք է:</w:t>
            </w:r>
          </w:p>
          <w:p w:rsidR="00C77402" w:rsidRPr="00C77402" w:rsidRDefault="00C77402" w:rsidP="00C77402">
            <w:pPr>
              <w:widowControl w:val="0"/>
              <w:spacing w:line="360" w:lineRule="auto"/>
              <w:ind w:firstLine="708"/>
              <w:jc w:val="both"/>
              <w:textAlignment w:val="baseline"/>
              <w:rPr>
                <w:sz w:val="24"/>
                <w:szCs w:val="24"/>
                <w:lang w:val="fr-FR"/>
              </w:rPr>
            </w:pPr>
            <w:r>
              <w:rPr>
                <w:sz w:val="24"/>
                <w:szCs w:val="24"/>
                <w:lang w:val="fr-FR"/>
              </w:rPr>
              <w:t xml:space="preserve">Վերոնշյալ դրույթների վերլուծությունից բխում է, որ Կենտրոնական բանկի` օրենքով </w:t>
            </w:r>
            <w:r>
              <w:rPr>
                <w:sz w:val="24"/>
                <w:szCs w:val="24"/>
                <w:lang w:val="fr-FR"/>
              </w:rPr>
              <w:lastRenderedPageBreak/>
              <w:t>սահմանված կարգով տրված հանձնարարականը չկատարելը կարող է հանգեցնել ոչ թե անմիջականորեն բանկի աշխատակիցների, այլ բանկի և բանկի ղեկավարների նկատմամբ պատժամիջոցների կիրառման, ուստի բանկի կողմից համապատասխան հանձնարարականը չկատարելու բացասական հետևանքները չպետք է անդրադառնան բանկի աշխատակիցների իրավունքների, այդ թվում` պարգևատրումներ և խրախուսական այլ վճարներ ստանալու իրավունքի վրա: Բացի այդ, անհասկանալի է` ինչու է հանձնարարականը չկատարելը նախատեսվում որպես պարգևատրումների և խրախուսական այլ վճարումների վճարման սահմանափակման հիմք և չի նախատեսվում որպես շահութաբաժինների բաշխման սահմանափակման հիմք` համաձայն նախագծի 3-րդ հոդվածի:</w:t>
            </w:r>
          </w:p>
        </w:tc>
        <w:tc>
          <w:tcPr>
            <w:tcW w:w="3438" w:type="dxa"/>
          </w:tcPr>
          <w:p w:rsidR="00C77402" w:rsidRPr="00E628D7" w:rsidRDefault="00C77402" w:rsidP="0033587E">
            <w:pPr>
              <w:rPr>
                <w:sz w:val="24"/>
                <w:szCs w:val="24"/>
              </w:rPr>
            </w:pPr>
            <w:r>
              <w:rPr>
                <w:sz w:val="24"/>
                <w:szCs w:val="24"/>
              </w:rPr>
              <w:lastRenderedPageBreak/>
              <w:t>Ընդունելի է: Նշված հիմքը Նախագծից հանվել է:</w:t>
            </w:r>
          </w:p>
        </w:tc>
      </w:tr>
      <w:tr w:rsidR="00C77402" w:rsidRPr="00E628D7" w:rsidTr="0024664B">
        <w:tc>
          <w:tcPr>
            <w:tcW w:w="648" w:type="dxa"/>
          </w:tcPr>
          <w:p w:rsidR="00C77402" w:rsidRPr="00E628D7" w:rsidRDefault="00C77402" w:rsidP="0024664B">
            <w:pPr>
              <w:jc w:val="center"/>
              <w:rPr>
                <w:sz w:val="24"/>
                <w:szCs w:val="24"/>
              </w:rPr>
            </w:pPr>
          </w:p>
        </w:tc>
        <w:tc>
          <w:tcPr>
            <w:tcW w:w="3420" w:type="dxa"/>
          </w:tcPr>
          <w:p w:rsidR="00C77402" w:rsidRPr="00E628D7" w:rsidRDefault="00C77402" w:rsidP="0024664B">
            <w:pPr>
              <w:jc w:val="center"/>
              <w:rPr>
                <w:sz w:val="24"/>
                <w:szCs w:val="24"/>
              </w:rPr>
            </w:pPr>
          </w:p>
        </w:tc>
        <w:tc>
          <w:tcPr>
            <w:tcW w:w="5670" w:type="dxa"/>
          </w:tcPr>
          <w:p w:rsidR="00C77402" w:rsidRPr="002F0995" w:rsidRDefault="00C77402" w:rsidP="00C77402">
            <w:pPr>
              <w:widowControl w:val="0"/>
              <w:spacing w:line="360" w:lineRule="auto"/>
              <w:ind w:firstLine="708"/>
              <w:jc w:val="both"/>
              <w:textAlignment w:val="baseline"/>
              <w:rPr>
                <w:sz w:val="24"/>
                <w:szCs w:val="24"/>
                <w:lang w:val="fr-FR"/>
              </w:rPr>
            </w:pPr>
            <w:r w:rsidRPr="002F0995">
              <w:rPr>
                <w:sz w:val="24"/>
                <w:szCs w:val="24"/>
                <w:lang w:val="fr-FR"/>
              </w:rPr>
              <w:t xml:space="preserve">««Ապահովագրության և ապահովագրական գործունեության մասին» Հայաստանի Հանրապետության օրենքում լրացումներ </w:t>
            </w:r>
            <w:r>
              <w:rPr>
                <w:sz w:val="24"/>
                <w:szCs w:val="24"/>
                <w:lang w:val="fr-FR"/>
              </w:rPr>
              <w:t xml:space="preserve">և </w:t>
            </w:r>
            <w:r w:rsidRPr="002F0995">
              <w:rPr>
                <w:sz w:val="24"/>
                <w:szCs w:val="24"/>
                <w:lang w:val="fr-FR"/>
              </w:rPr>
              <w:t xml:space="preserve">փոփոխություններ կատարելու մասին» Հայաստանի Հանրապետության օրենքի </w:t>
            </w:r>
            <w:r w:rsidRPr="005520E8">
              <w:rPr>
                <w:sz w:val="24"/>
                <w:szCs w:val="24"/>
                <w:lang w:val="fr-FR"/>
              </w:rPr>
              <w:t>լրամշակված</w:t>
            </w:r>
            <w:r w:rsidRPr="002F0995">
              <w:rPr>
                <w:sz w:val="24"/>
                <w:szCs w:val="24"/>
                <w:lang w:val="fr-FR"/>
              </w:rPr>
              <w:t xml:space="preserve"> նախագծի 16-րդ հոդվածով նախատեսվում է Օրենքի 126-րդ հոդվածի 1-ին մասը լրացնել 1.2 կետով, համաձայն որի` Կենտրոնական բանկը կյանքի ապահովագրություն իրականացնող ընկերության ապահովագրական պորտֆելի փոխանցման դիմումը բավարարում կամ մերժում է հոդվածի 1.1 մասով սահմանված երկամսյա ժամկետի ավարտից հետո` երեսնօրյա ժամկետում: Սույն որոշմամբ Կենտրոնական բանկն </w:t>
            </w:r>
            <w:r w:rsidRPr="005520E8">
              <w:rPr>
                <w:b/>
                <w:sz w:val="24"/>
                <w:szCs w:val="24"/>
                <w:lang w:val="fr-FR"/>
              </w:rPr>
              <w:t>անդրադառնում է</w:t>
            </w:r>
            <w:r w:rsidRPr="002F0995">
              <w:rPr>
                <w:sz w:val="24"/>
                <w:szCs w:val="24"/>
                <w:lang w:val="fr-FR"/>
              </w:rPr>
              <w:t xml:space="preserve"> նաև ապահովագրական պորտֆելի փոխանցման վերաբերյալ ապահովադիրներից ստացված առարկություններին:</w:t>
            </w:r>
          </w:p>
          <w:p w:rsidR="00C77402" w:rsidRPr="002F0995" w:rsidRDefault="00C77402" w:rsidP="00C77402">
            <w:pPr>
              <w:widowControl w:val="0"/>
              <w:spacing w:line="360" w:lineRule="auto"/>
              <w:ind w:firstLine="708"/>
              <w:jc w:val="both"/>
              <w:textAlignment w:val="baseline"/>
              <w:rPr>
                <w:sz w:val="24"/>
                <w:szCs w:val="24"/>
                <w:lang w:val="fr-FR"/>
              </w:rPr>
            </w:pPr>
            <w:r w:rsidRPr="002F0995">
              <w:rPr>
                <w:sz w:val="24"/>
                <w:szCs w:val="24"/>
                <w:lang w:val="fr-FR"/>
              </w:rPr>
              <w:lastRenderedPageBreak/>
              <w:t xml:space="preserve">Հարկ է նշել, որ նախագծի նախնական տարբերակում վերոնշյալ կարգավորման առնչությամբ նախատեսվում էր, որ </w:t>
            </w:r>
            <w:r>
              <w:rPr>
                <w:sz w:val="24"/>
                <w:szCs w:val="24"/>
                <w:lang w:val="fr-FR"/>
              </w:rPr>
              <w:t>Կենտրո</w:t>
            </w:r>
            <w:r w:rsidRPr="002F0995">
              <w:rPr>
                <w:sz w:val="24"/>
                <w:szCs w:val="24"/>
                <w:lang w:val="fr-FR"/>
              </w:rPr>
              <w:t xml:space="preserve">նական բանկը </w:t>
            </w:r>
            <w:r w:rsidRPr="005520E8">
              <w:rPr>
                <w:b/>
                <w:sz w:val="24"/>
                <w:szCs w:val="24"/>
                <w:lang w:val="fr-FR"/>
              </w:rPr>
              <w:t>հաշվի է առնում</w:t>
            </w:r>
            <w:r w:rsidRPr="002F0995">
              <w:rPr>
                <w:sz w:val="24"/>
                <w:szCs w:val="24"/>
                <w:lang w:val="fr-FR"/>
              </w:rPr>
              <w:t xml:space="preserve"> նաև ապահովագրական պորտֆելի փոխանցման վերաբերյալ </w:t>
            </w:r>
            <w:r>
              <w:rPr>
                <w:sz w:val="24"/>
                <w:szCs w:val="24"/>
                <w:lang w:val="fr-FR"/>
              </w:rPr>
              <w:t>ապահովադ</w:t>
            </w:r>
            <w:r w:rsidRPr="002F0995">
              <w:rPr>
                <w:sz w:val="24"/>
                <w:szCs w:val="24"/>
                <w:lang w:val="fr-FR"/>
              </w:rPr>
              <w:t xml:space="preserve">իրներից ստացված առարկությունները: Նշված ձևակերպման վերաբերյալ ՀՀ արդարադատության նախարարությունն իր դիրքորոշումն է </w:t>
            </w:r>
            <w:r>
              <w:rPr>
                <w:sz w:val="24"/>
                <w:szCs w:val="24"/>
                <w:lang w:val="fr-FR"/>
              </w:rPr>
              <w:t>ներկայացրել</w:t>
            </w:r>
            <w:r w:rsidRPr="002F0995">
              <w:rPr>
                <w:sz w:val="24"/>
                <w:szCs w:val="24"/>
                <w:lang w:val="fr-FR"/>
              </w:rPr>
              <w:t xml:space="preserve"> </w:t>
            </w:r>
            <w:r>
              <w:rPr>
                <w:sz w:val="24"/>
                <w:szCs w:val="24"/>
                <w:lang w:val="fr-FR"/>
              </w:rPr>
              <w:t>2016 թվականի հոկտեմբերի 7-ի</w:t>
            </w:r>
            <w:r w:rsidRPr="002F0995">
              <w:rPr>
                <w:sz w:val="24"/>
                <w:szCs w:val="24"/>
                <w:lang w:val="fr-FR"/>
              </w:rPr>
              <w:t xml:space="preserve"> </w:t>
            </w:r>
            <w:r>
              <w:rPr>
                <w:sz w:val="24"/>
                <w:szCs w:val="24"/>
                <w:lang w:val="fr-FR"/>
              </w:rPr>
              <w:t xml:space="preserve">01/12667-16 </w:t>
            </w:r>
            <w:r w:rsidRPr="002F0995">
              <w:rPr>
                <w:sz w:val="24"/>
                <w:szCs w:val="24"/>
                <w:lang w:val="fr-FR"/>
              </w:rPr>
              <w:t>գրությամբ, որի հիման վրա Կենտրոնական բանկը ներկայացրել է նոր խմբագրություն:</w:t>
            </w:r>
          </w:p>
          <w:p w:rsidR="00C77402" w:rsidRPr="00A37063" w:rsidRDefault="00C77402" w:rsidP="006A15EB">
            <w:pPr>
              <w:widowControl w:val="0"/>
              <w:spacing w:line="360" w:lineRule="auto"/>
              <w:ind w:firstLine="708"/>
              <w:jc w:val="both"/>
              <w:textAlignment w:val="baseline"/>
              <w:rPr>
                <w:sz w:val="24"/>
                <w:szCs w:val="24"/>
                <w:lang w:val="fr-FR"/>
              </w:rPr>
            </w:pPr>
            <w:r w:rsidRPr="002F0995">
              <w:rPr>
                <w:sz w:val="24"/>
                <w:szCs w:val="24"/>
                <w:lang w:val="fr-FR"/>
              </w:rPr>
              <w:t xml:space="preserve">Այս կապակցությամբ գտնում ենք, որ նախագծի նախնական տարբերակում օգտագործվող «հաշվի է առնում» և լրամշակված տարբերակում օգտագործվող «անդրադառնում է» եզրույթների միջև բովանդակային առումով տարբերություն չկա: Թե´ առաջին, թե´ երկրորդ </w:t>
            </w:r>
            <w:r w:rsidRPr="002F0995">
              <w:rPr>
                <w:sz w:val="24"/>
                <w:szCs w:val="24"/>
                <w:lang w:val="fr-FR"/>
              </w:rPr>
              <w:lastRenderedPageBreak/>
              <w:t xml:space="preserve">դեպքում </w:t>
            </w:r>
            <w:r>
              <w:rPr>
                <w:sz w:val="24"/>
                <w:szCs w:val="24"/>
                <w:lang w:val="fr-FR"/>
              </w:rPr>
              <w:t>ապահովադիրնե</w:t>
            </w:r>
            <w:r w:rsidRPr="002F0995">
              <w:rPr>
                <w:sz w:val="24"/>
                <w:szCs w:val="24"/>
                <w:lang w:val="fr-FR"/>
              </w:rPr>
              <w:t xml:space="preserve">րի` առարկություն ներկայացնելու իրավունքի իրացման իրավական հետևանքների տեսանկյունից առաջանում է անորոշություն, մասնավորապես, անհասկանալի է` </w:t>
            </w:r>
            <w:r>
              <w:rPr>
                <w:sz w:val="24"/>
                <w:szCs w:val="24"/>
                <w:lang w:val="fr-FR"/>
              </w:rPr>
              <w:t>արդ</w:t>
            </w:r>
            <w:r w:rsidRPr="002F0995">
              <w:rPr>
                <w:sz w:val="24"/>
                <w:szCs w:val="24"/>
                <w:lang w:val="fr-FR"/>
              </w:rPr>
              <w:t xml:space="preserve">յոք ապահովադրի կողմից ներկայացված առարկությունները ապահովագրական պորտֆելի փոխանցման </w:t>
            </w:r>
            <w:r>
              <w:rPr>
                <w:sz w:val="24"/>
                <w:szCs w:val="24"/>
                <w:lang w:val="fr-FR"/>
              </w:rPr>
              <w:t>դի</w:t>
            </w:r>
            <w:r w:rsidRPr="002F0995">
              <w:rPr>
                <w:sz w:val="24"/>
                <w:szCs w:val="24"/>
                <w:lang w:val="fr-FR"/>
              </w:rPr>
              <w:t xml:space="preserve">մումը մերժելու հիմք </w:t>
            </w:r>
            <w:r>
              <w:rPr>
                <w:sz w:val="24"/>
                <w:szCs w:val="24"/>
                <w:lang w:val="fr-FR"/>
              </w:rPr>
              <w:t>են</w:t>
            </w:r>
            <w:r w:rsidRPr="002F0995">
              <w:rPr>
                <w:sz w:val="24"/>
                <w:szCs w:val="24"/>
                <w:lang w:val="fr-FR"/>
              </w:rPr>
              <w:t>, թե` ոչ</w:t>
            </w:r>
            <w:r w:rsidR="006A15EB">
              <w:rPr>
                <w:rFonts w:ascii="Courier New" w:hAnsi="Courier New" w:cs="Courier New"/>
                <w:sz w:val="24"/>
                <w:szCs w:val="24"/>
                <w:lang w:val="fr-FR"/>
              </w:rPr>
              <w:t> </w:t>
            </w:r>
            <w:r w:rsidR="006A15EB">
              <w:rPr>
                <w:sz w:val="24"/>
                <w:szCs w:val="24"/>
                <w:lang w:val="fr-FR"/>
              </w:rPr>
              <w:t>:</w:t>
            </w:r>
            <w:bookmarkStart w:id="0" w:name="_GoBack"/>
            <w:bookmarkEnd w:id="0"/>
          </w:p>
        </w:tc>
        <w:tc>
          <w:tcPr>
            <w:tcW w:w="3438" w:type="dxa"/>
          </w:tcPr>
          <w:p w:rsidR="00C77402" w:rsidRDefault="00C77402" w:rsidP="0033587E">
            <w:pPr>
              <w:rPr>
                <w:sz w:val="24"/>
                <w:szCs w:val="24"/>
              </w:rPr>
            </w:pPr>
            <w:r>
              <w:rPr>
                <w:sz w:val="24"/>
                <w:szCs w:val="24"/>
              </w:rPr>
              <w:lastRenderedPageBreak/>
              <w:t xml:space="preserve">Ընդունելի է նշված դրույթը խմբագրվել է: </w:t>
            </w:r>
          </w:p>
        </w:tc>
      </w:tr>
    </w:tbl>
    <w:p w:rsidR="0024664B" w:rsidRPr="00E628D7" w:rsidRDefault="0024664B" w:rsidP="0024664B">
      <w:pPr>
        <w:jc w:val="center"/>
        <w:rPr>
          <w:sz w:val="24"/>
          <w:szCs w:val="24"/>
        </w:rPr>
      </w:pPr>
    </w:p>
    <w:p w:rsidR="00DB15C8" w:rsidRPr="00E628D7" w:rsidRDefault="0024664B" w:rsidP="0024664B">
      <w:pPr>
        <w:tabs>
          <w:tab w:val="left" w:pos="2280"/>
        </w:tabs>
      </w:pPr>
      <w:r w:rsidRPr="00E628D7">
        <w:tab/>
      </w:r>
    </w:p>
    <w:sectPr w:rsidR="00DB15C8" w:rsidRPr="00E628D7" w:rsidSect="0024664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RTEK Courier">
    <w:panose1 w:val="02070300020205020404"/>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43872"/>
    <w:multiLevelType w:val="hybridMultilevel"/>
    <w:tmpl w:val="55286AF8"/>
    <w:lvl w:ilvl="0" w:tplc="35CA08DC">
      <w:numFmt w:val="bullet"/>
      <w:lvlText w:val="-"/>
      <w:lvlJc w:val="left"/>
      <w:pPr>
        <w:ind w:left="1068" w:hanging="360"/>
      </w:pPr>
      <w:rPr>
        <w:rFonts w:ascii="GHEA Grapalat" w:eastAsia="Calibri" w:hAnsi="GHEA Grapalat"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nsid w:val="71C013F5"/>
    <w:multiLevelType w:val="hybridMultilevel"/>
    <w:tmpl w:val="138E77B4"/>
    <w:lvl w:ilvl="0" w:tplc="0354F41A">
      <w:start w:val="1"/>
      <w:numFmt w:val="decimal"/>
      <w:lvlText w:val="%1."/>
      <w:lvlJc w:val="left"/>
      <w:pPr>
        <w:ind w:left="1068" w:hanging="360"/>
      </w:pPr>
      <w:rPr>
        <w:rFonts w:cs="Sylfaen" w:hint="default"/>
        <w:color w:val="00000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FDA"/>
    <w:rsid w:val="000238D6"/>
    <w:rsid w:val="0005514C"/>
    <w:rsid w:val="000E5E7C"/>
    <w:rsid w:val="00164452"/>
    <w:rsid w:val="0024664B"/>
    <w:rsid w:val="0033587E"/>
    <w:rsid w:val="00341C7A"/>
    <w:rsid w:val="006A15EB"/>
    <w:rsid w:val="007776D5"/>
    <w:rsid w:val="00896A16"/>
    <w:rsid w:val="008E1FDA"/>
    <w:rsid w:val="00995A02"/>
    <w:rsid w:val="00AE3C2E"/>
    <w:rsid w:val="00C77402"/>
    <w:rsid w:val="00CA54E0"/>
    <w:rsid w:val="00DB15C8"/>
    <w:rsid w:val="00DB5B61"/>
    <w:rsid w:val="00DD2AEB"/>
    <w:rsid w:val="00E628D7"/>
    <w:rsid w:val="00EB1BD1"/>
    <w:rsid w:val="00EE46F9"/>
    <w:rsid w:val="00F3371F"/>
    <w:rsid w:val="00F92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6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6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5E7C"/>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6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6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5E7C"/>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24</Pages>
  <Words>3014</Words>
  <Characters>17182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u</cp:lastModifiedBy>
  <cp:revision>8</cp:revision>
  <dcterms:created xsi:type="dcterms:W3CDTF">2016-09-16T06:42:00Z</dcterms:created>
  <dcterms:modified xsi:type="dcterms:W3CDTF">2016-11-29T11:46:00Z</dcterms:modified>
</cp:coreProperties>
</file>