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CC79" w14:textId="77777777" w:rsidR="00414DD6" w:rsidRPr="00CA1998" w:rsidRDefault="00414DD6" w:rsidP="00414DD6">
      <w:pPr>
        <w:rPr>
          <w:rFonts w:ascii="GHEA Grapalat" w:hAnsi="GHEA Grapalat" w:cs="GHEA Grapalat"/>
          <w:bCs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32"/>
        <w:gridCol w:w="6570"/>
        <w:gridCol w:w="2700"/>
        <w:gridCol w:w="3240"/>
      </w:tblGrid>
      <w:tr w:rsidR="00CA1998" w:rsidRPr="00CA1998" w14:paraId="5DA0CC80" w14:textId="77777777" w:rsidTr="00E84EBA">
        <w:trPr>
          <w:trHeight w:val="636"/>
        </w:trPr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7A" w14:textId="77777777" w:rsidR="009C37A3" w:rsidRPr="00CA1998" w:rsidRDefault="009C37A3" w:rsidP="006E0837">
            <w:pPr>
              <w:jc w:val="center"/>
              <w:rPr>
                <w:rFonts w:ascii="GHEA Grapalat" w:hAnsi="GHEA Grapalat" w:cs="GHEA Grapalat"/>
                <w:b/>
                <w:bCs/>
                <w:spacing w:val="18"/>
                <w:lang w:val="es-ES"/>
              </w:rPr>
            </w:pPr>
            <w:r w:rsidRPr="00CA1998">
              <w:rPr>
                <w:rFonts w:ascii="GHEA Grapalat" w:hAnsi="GHEA Grapalat" w:cs="GHEA Grapalat"/>
                <w:b/>
                <w:bCs/>
                <w:spacing w:val="18"/>
                <w:lang w:val="es-ES"/>
              </w:rPr>
              <w:t>ԱՄՓՈՓԱԹԵՐԹ</w:t>
            </w:r>
          </w:p>
          <w:p w14:paraId="5DA0CC7B" w14:textId="77777777" w:rsidR="009C37A3" w:rsidRPr="00CA1998" w:rsidRDefault="009C37A3" w:rsidP="009C37A3">
            <w:pPr>
              <w:jc w:val="center"/>
              <w:rPr>
                <w:rFonts w:ascii="GHEA Grapalat" w:hAnsi="GHEA Grapalat" w:cs="GHEA Grapalat"/>
                <w:bCs/>
                <w:lang w:val="es-ES"/>
              </w:rPr>
            </w:pPr>
            <w:r w:rsidRPr="00CA1998">
              <w:rPr>
                <w:rFonts w:ascii="GHEA Grapalat" w:hAnsi="GHEA Grapalat" w:cs="Times Armenian"/>
                <w:lang w:val="es-ES"/>
              </w:rPr>
              <w:t>“</w:t>
            </w:r>
            <w:r w:rsidRPr="00CA1998">
              <w:rPr>
                <w:rFonts w:ascii="GHEA Grapalat" w:hAnsi="GHEA Grapalat"/>
                <w:kern w:val="14"/>
              </w:rPr>
              <w:t>Ապահովված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հիփոթեքային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պարտատոմսերի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մասին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” </w:t>
            </w:r>
            <w:r w:rsidRPr="00CA1998">
              <w:rPr>
                <w:rFonts w:ascii="GHEA Grapalat" w:hAnsi="GHEA Grapalat"/>
                <w:kern w:val="14"/>
              </w:rPr>
              <w:t>Հայաստանի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Հանրապետության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օրենքում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փոփոխություններ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կատարելու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մասին</w:t>
            </w:r>
            <w:r w:rsidRPr="00CA1998">
              <w:rPr>
                <w:rFonts w:ascii="GHEA Grapalat" w:hAnsi="GHEA Grapalat" w:cs="Times Armenian"/>
                <w:lang w:val="es-ES"/>
              </w:rPr>
              <w:t xml:space="preserve">” </w:t>
            </w:r>
            <w:r w:rsidRPr="00CA1998">
              <w:rPr>
                <w:rFonts w:ascii="GHEA Grapalat" w:hAnsi="GHEA Grapalat" w:cs="Times Armenian"/>
                <w:lang w:val="ru-RU"/>
              </w:rPr>
              <w:t>և</w:t>
            </w:r>
            <w:r w:rsidRPr="00CA1998">
              <w:rPr>
                <w:rFonts w:ascii="GHEA Grapalat" w:hAnsi="GHEA Grapalat" w:cs="Times Armenian"/>
                <w:lang w:val="es-ES"/>
              </w:rPr>
              <w:t xml:space="preserve"> “</w:t>
            </w:r>
            <w:r w:rsidRPr="00CA1998">
              <w:rPr>
                <w:rFonts w:ascii="GHEA Grapalat" w:eastAsia="GHEA Grapalat" w:hAnsi="GHEA Grapalat" w:cs="GHEA Grapalat"/>
              </w:rPr>
              <w:t>Բանկերի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, </w:t>
            </w:r>
            <w:r w:rsidRPr="00CA1998">
              <w:rPr>
                <w:rFonts w:ascii="GHEA Grapalat" w:eastAsia="GHEA Grapalat" w:hAnsi="GHEA Grapalat" w:cs="GHEA Grapalat"/>
              </w:rPr>
              <w:t>վարկային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կազմակերպությունների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, </w:t>
            </w:r>
            <w:r w:rsidRPr="00CA1998">
              <w:rPr>
                <w:rFonts w:ascii="GHEA Grapalat" w:eastAsia="GHEA Grapalat" w:hAnsi="GHEA Grapalat" w:cs="GHEA Grapalat"/>
              </w:rPr>
              <w:t>ներդրումային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ընկերությունների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, </w:t>
            </w:r>
            <w:r w:rsidRPr="00CA1998">
              <w:rPr>
                <w:rFonts w:ascii="GHEA Grapalat" w:eastAsia="GHEA Grapalat" w:hAnsi="GHEA Grapalat" w:cs="GHEA Grapalat"/>
              </w:rPr>
              <w:t>ներդրումային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ֆոնդի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կառավարիչների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և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ապահովագրական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ընկերությունների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սնանկության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մասին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” </w:t>
            </w:r>
            <w:r w:rsidRPr="00CA1998">
              <w:rPr>
                <w:rFonts w:ascii="GHEA Grapalat" w:eastAsia="GHEA Grapalat" w:hAnsi="GHEA Grapalat" w:cs="GHEA Grapalat"/>
              </w:rPr>
              <w:t>Հայաստանի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eastAsia="GHEA Grapalat" w:hAnsi="GHEA Grapalat" w:cs="GHEA Grapalat"/>
              </w:rPr>
              <w:t>Հանրապետության</w:t>
            </w:r>
            <w:r w:rsidRPr="00CA1998">
              <w:rPr>
                <w:rFonts w:ascii="GHEA Grapalat" w:eastAsia="GHEA Grapalat" w:hAnsi="GHEA Grapalat" w:cs="GHEA Grapalat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օրենքում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փոփոխություն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կատարելու</w:t>
            </w:r>
            <w:r w:rsidRPr="00CA1998">
              <w:rPr>
                <w:rFonts w:ascii="GHEA Grapalat" w:hAnsi="GHEA Grapalat"/>
                <w:kern w:val="14"/>
                <w:lang w:val="es-ES"/>
              </w:rPr>
              <w:t xml:space="preserve"> </w:t>
            </w:r>
            <w:r w:rsidRPr="00CA1998">
              <w:rPr>
                <w:rFonts w:ascii="GHEA Grapalat" w:hAnsi="GHEA Grapalat"/>
                <w:kern w:val="14"/>
              </w:rPr>
              <w:t>մասին</w:t>
            </w:r>
            <w:r w:rsidRPr="00CA1998">
              <w:rPr>
                <w:rFonts w:ascii="GHEA Grapalat" w:hAnsi="GHEA Grapalat" w:cs="Times Armenian"/>
                <w:lang w:val="es-ES"/>
              </w:rPr>
              <w:t xml:space="preserve">” </w:t>
            </w:r>
            <w:r w:rsidRPr="00CA1998">
              <w:rPr>
                <w:rFonts w:ascii="GHEA Grapalat" w:hAnsi="GHEA Grapalat" w:cs="Times Armenian"/>
              </w:rPr>
              <w:t>ՀՀ</w:t>
            </w:r>
            <w:r w:rsidRPr="00CA1998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CA1998">
              <w:rPr>
                <w:rFonts w:ascii="GHEA Grapalat" w:hAnsi="GHEA Grapalat" w:cs="Times Armenian"/>
              </w:rPr>
              <w:t>օրենք</w:t>
            </w:r>
            <w:r w:rsidRPr="00CA1998">
              <w:rPr>
                <w:rFonts w:ascii="GHEA Grapalat" w:hAnsi="GHEA Grapalat" w:cs="Times Armenian"/>
                <w:lang w:val="ru-RU"/>
              </w:rPr>
              <w:t>ներ</w:t>
            </w:r>
            <w:r w:rsidRPr="00CA1998">
              <w:rPr>
                <w:rFonts w:ascii="GHEA Grapalat" w:hAnsi="GHEA Grapalat" w:cs="Times Armenian"/>
              </w:rPr>
              <w:t>ի</w:t>
            </w:r>
            <w:r w:rsidRPr="00CA1998">
              <w:rPr>
                <w:rFonts w:ascii="GHEA Grapalat" w:hAnsi="GHEA Grapalat" w:cs="Sylfaen"/>
                <w:lang w:val="es-ES"/>
              </w:rPr>
              <w:t xml:space="preserve"> </w:t>
            </w:r>
            <w:r w:rsidRPr="00CA1998">
              <w:rPr>
                <w:rFonts w:ascii="GHEA Grapalat" w:hAnsi="GHEA Grapalat" w:cs="Sylfaen"/>
              </w:rPr>
              <w:t>նախագծերի</w:t>
            </w:r>
            <w:r w:rsidRPr="00CA1998">
              <w:rPr>
                <w:rFonts w:ascii="GHEA Grapalat" w:hAnsi="GHEA Grapalat"/>
                <w:shd w:val="clear" w:color="auto" w:fill="FFFFFF"/>
                <w:lang w:val="es-ES"/>
              </w:rPr>
              <w:t xml:space="preserve"> </w:t>
            </w:r>
            <w:r w:rsidRPr="00CA1998">
              <w:rPr>
                <w:rFonts w:ascii="GHEA Grapalat" w:hAnsi="GHEA Grapalat" w:cs="GHEA Grapalat"/>
                <w:bCs/>
                <w:lang w:val="es-ES"/>
              </w:rPr>
              <w:t>վերաբերյալ դիտողությունների և առաջարկությունների</w:t>
            </w:r>
          </w:p>
          <w:p w14:paraId="5DA0CC7C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D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E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F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</w:tc>
      </w:tr>
      <w:tr w:rsidR="00CA1998" w:rsidRPr="00CA1998" w14:paraId="5DA0CC89" w14:textId="77777777" w:rsidTr="007A2BCE">
        <w:trPr>
          <w:trHeight w:val="6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1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  <w:b/>
                <w:bCs/>
              </w:rPr>
              <w:t>Հ/Հ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2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CA1998">
              <w:rPr>
                <w:rFonts w:ascii="GHEA Grapalat" w:hAnsi="GHEA Grapalat" w:cs="GHEA Grapalat"/>
                <w:b/>
                <w:bCs/>
              </w:rPr>
              <w:t>Առաջարկության հեղինակը, գրության ամսաթիվը, գրության համարը</w:t>
            </w:r>
          </w:p>
          <w:p w14:paraId="5DA0CC8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4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14:paraId="5DA0CC85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>Առաջարկության բովանդակությունը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6" w14:textId="77777777" w:rsidR="009C37A3" w:rsidRPr="00CA1998" w:rsidRDefault="009C37A3" w:rsidP="00566B28">
            <w:pPr>
              <w:spacing w:line="276" w:lineRule="auto"/>
              <w:ind w:right="252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</w:p>
          <w:p w14:paraId="5DA0CC87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>Եզրակացություն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8" w14:textId="77777777" w:rsidR="009C37A3" w:rsidRPr="00CA1998" w:rsidRDefault="009C37A3" w:rsidP="00566B28">
            <w:pPr>
              <w:spacing w:line="276" w:lineRule="auto"/>
              <w:ind w:right="252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CA1998">
              <w:rPr>
                <w:rFonts w:ascii="GHEA Grapalat" w:hAnsi="GHEA Grapalat" w:cs="GHEA Grapalat"/>
                <w:b/>
                <w:bCs/>
              </w:rPr>
              <w:t>Կատարված փոփոխությունը</w:t>
            </w:r>
          </w:p>
        </w:tc>
      </w:tr>
      <w:tr w:rsidR="00CA1998" w:rsidRPr="00CA1998" w14:paraId="5DA0CC8F" w14:textId="77777777" w:rsidTr="007A2BCE">
        <w:trPr>
          <w:trHeight w:val="1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A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B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C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D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E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A1998">
              <w:rPr>
                <w:rFonts w:ascii="GHEA Grapalat" w:hAnsi="GHEA Grapalat" w:cs="GHEA Grapalat"/>
              </w:rPr>
              <w:t>5</w:t>
            </w:r>
          </w:p>
        </w:tc>
      </w:tr>
      <w:tr w:rsidR="00CA1998" w:rsidRPr="00CA1998" w14:paraId="5DA0CCBF" w14:textId="77777777" w:rsidTr="007A2BC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90" w14:textId="77777777" w:rsidR="009C37A3" w:rsidRPr="00CA1998" w:rsidRDefault="009C37A3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91" w14:textId="77777777" w:rsidR="00D4045B" w:rsidRPr="00CA1998" w:rsidRDefault="00D4045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2" w14:textId="4C6ABCDC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ru-RU"/>
              </w:rPr>
              <w:t>ՀՀ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r w:rsidR="00106E66"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տնտեսական զարգացման և ներդրումների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</w:p>
          <w:p w14:paraId="5DA0CC9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en-US"/>
              </w:rPr>
            </w:pPr>
          </w:p>
          <w:p w14:paraId="5DA0CC94" w14:textId="7DA28F2B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ru-RU"/>
              </w:rPr>
              <w:t>N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0</w:t>
            </w:r>
            <w:r w:rsidR="008B2CBB"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5/10.4/5341-17</w:t>
            </w:r>
          </w:p>
          <w:p w14:paraId="5DA0CC95" w14:textId="496194BB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0</w:t>
            </w:r>
            <w:r w:rsidR="008B2CBB"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1.06.2017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թ.</w:t>
            </w:r>
          </w:p>
          <w:p w14:paraId="5DA0CC96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7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8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9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A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B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C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D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CC9E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9F" w14:textId="77777777" w:rsidR="002B4CC9" w:rsidRPr="00CA1998" w:rsidRDefault="002B4CC9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A0" w14:textId="77777777" w:rsidR="002B4CC9" w:rsidRPr="00CA1998" w:rsidRDefault="002B4CC9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A1" w14:textId="77777777" w:rsidR="006411C1" w:rsidRPr="00CA1998" w:rsidRDefault="006411C1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Առաջ</w:t>
            </w:r>
            <w:r w:rsidR="00232554" w:rsidRPr="00CA1998">
              <w:rPr>
                <w:rFonts w:ascii="GHEA Grapalat" w:hAnsi="GHEA Grapalat"/>
                <w:lang w:val="af-ZA"/>
              </w:rPr>
              <w:t>արկություն և դիտողություն չունի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CCA2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4" w14:textId="77777777" w:rsidR="002B4CC9" w:rsidRPr="00CA1998" w:rsidRDefault="002B4CC9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5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6" w14:textId="77777777" w:rsidR="009C37A3" w:rsidRPr="00CA1998" w:rsidRDefault="002B4CC9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գիտություն:</w:t>
            </w:r>
          </w:p>
          <w:p w14:paraId="5DA0CCA7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8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9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A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B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C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D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E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F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0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1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2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4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5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6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7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8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9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A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B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C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D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DA0CCBE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CA1998" w:rsidRPr="00CA1998" w14:paraId="5DA0CCCB" w14:textId="77777777" w:rsidTr="007A2BC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C0" w14:textId="77777777" w:rsidR="00E72CB1" w:rsidRPr="00CA1998" w:rsidRDefault="00E72CB1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3A5" w14:textId="77777777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ՀՀ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առողջապահության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</w:p>
          <w:p w14:paraId="7EC8F1AD" w14:textId="77777777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7DEC77A6" w14:textId="14A35210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N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ԼԱ/06.1/6422-17</w:t>
            </w:r>
          </w:p>
          <w:p w14:paraId="5DA0CCC4" w14:textId="245461B5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ru-RU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22.05.2017թ.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9D86" w14:textId="77777777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C6" w14:textId="449C0934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Առաջարկություն և դիտողություն չունի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DC78" w14:textId="77777777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A0CCC9" w14:textId="482BB37F" w:rsidR="00E72CB1" w:rsidRPr="00CA1998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DA0CCCA" w14:textId="77777777" w:rsidR="00E72CB1" w:rsidRPr="00CA1998" w:rsidRDefault="00E72CB1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CA1998" w:rsidRPr="00CA1998" w14:paraId="5DA0CCD6" w14:textId="77777777" w:rsidTr="007A2BC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CC" w14:textId="77777777" w:rsidR="00DC036F" w:rsidRPr="00CA1998" w:rsidRDefault="00DC036F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2347" w14:textId="77777777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ՀՀ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աշխատանքի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և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սոցիալական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հարցերի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</w:p>
          <w:p w14:paraId="20503C80" w14:textId="77777777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412DCEF2" w14:textId="61B47D91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N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ԱԱ/հմ-2-2/5326-17</w:t>
            </w:r>
          </w:p>
          <w:p w14:paraId="5DA0CCD0" w14:textId="382DD46A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20.05.2017թ.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B80D" w14:textId="77777777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D2" w14:textId="1434CAB4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Առաջարկություն և դիտողություն չունի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1828" w14:textId="77777777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A189C48" w14:textId="77777777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A0CCD4" w14:textId="4D30699F" w:rsidR="00DC036F" w:rsidRPr="00CA1998" w:rsidRDefault="00DC036F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DA0CCD5" w14:textId="77777777" w:rsidR="00DC036F" w:rsidRPr="00CA1998" w:rsidRDefault="00DC036F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CA1998" w:rsidRPr="00CA1998" w14:paraId="5DA0CCE2" w14:textId="77777777" w:rsidTr="007A2BCE">
        <w:trPr>
          <w:trHeight w:val="10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D7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A1998">
              <w:rPr>
                <w:rFonts w:ascii="GHEA Grapalat" w:hAnsi="GHEA Grapalat" w:cs="Sylfaen"/>
                <w:lang w:val="en-US"/>
              </w:rPr>
              <w:t>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B8E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ՀՀ բնապահպանության նախարարություն</w:t>
            </w:r>
          </w:p>
          <w:p w14:paraId="64982CF1" w14:textId="3464757F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N 2/05.3/20475</w:t>
            </w:r>
          </w:p>
          <w:p w14:paraId="3D0108E5" w14:textId="74292C69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23.05.2017թ.</w:t>
            </w:r>
          </w:p>
          <w:p w14:paraId="6BBF0FE2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1BD13103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435206BF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3CD9B23E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DB" w14:textId="17153823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ABC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DD" w14:textId="05E37958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Առաջարկություն և դիտողություն չունի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DD8B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2E9D64B" w14:textId="77777777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A0CCE0" w14:textId="7FCEC8F2" w:rsidR="005C1983" w:rsidRPr="00CA1998" w:rsidRDefault="005C198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DA0CCE1" w14:textId="77777777" w:rsidR="005C1983" w:rsidRPr="00CA1998" w:rsidRDefault="005C1983" w:rsidP="00566B2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</w:tr>
      <w:tr w:rsidR="00CA1998" w:rsidRPr="00CA1998" w14:paraId="6BE69274" w14:textId="77777777" w:rsidTr="007A2BCE">
        <w:trPr>
          <w:trHeight w:val="61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8DA8" w14:textId="3D4A92FC" w:rsidR="00345B60" w:rsidRPr="00CA1998" w:rsidRDefault="00D342D6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A1998">
              <w:rPr>
                <w:rFonts w:ascii="GHEA Grapalat" w:hAnsi="GHEA Grapalat" w:cs="Sylfaen"/>
                <w:lang w:val="af-ZA"/>
              </w:rPr>
              <w:lastRenderedPageBreak/>
              <w:t>5.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80DED" w14:textId="77777777" w:rsidR="00D342D6" w:rsidRPr="00CA1998" w:rsidRDefault="00D342D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ru-RU"/>
              </w:rPr>
              <w:t>ՀՀ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ֆինանսների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</w:p>
          <w:p w14:paraId="64AB198F" w14:textId="77777777" w:rsidR="00D342D6" w:rsidRPr="00CA1998" w:rsidRDefault="00D342D6" w:rsidP="00566B2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</w:pPr>
          </w:p>
          <w:p w14:paraId="13006256" w14:textId="77777777" w:rsidR="00D342D6" w:rsidRPr="00CA1998" w:rsidRDefault="00D342D6" w:rsidP="00566B2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</w:pPr>
            <w:r w:rsidRPr="00CA1998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N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>01/87/9176-17</w:t>
            </w:r>
          </w:p>
          <w:p w14:paraId="44A3420B" w14:textId="10C9397D" w:rsidR="00345B60" w:rsidRPr="00CA1998" w:rsidRDefault="00D342D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>24.05.2017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թ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1E5" w14:textId="0576F0C6" w:rsidR="00345B60" w:rsidRPr="00CA1998" w:rsidRDefault="00345B6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1.“Ապահովված հիփոթեքային պարտատոմսերի մասին” Հայաստանի Հանրապետության օրենքում փոփոխություններ կատարելու մասին” ՀՀ օրենքի նախագծի 7-րդ հոդվածի 4-րդ կետով սահմանվում է, որ ապահովման միջոցների զամբյուղում ներառված հիփոթեքային վարկի առարկա հանդիսացող անշարժ գույքի վերագնահատումը պետք է իրականացվի, եթե անշարժ գույքի շուկայում տեղի է ունեցել գների էական անկում կամ ակնկալվում է, որ տվյալ գույքի գինը էականորեն կնվազի:</w:t>
            </w:r>
          </w:p>
          <w:p w14:paraId="1C9926E4" w14:textId="77777777" w:rsidR="00345B60" w:rsidRPr="00CA1998" w:rsidRDefault="00345B60" w:rsidP="00566B28">
            <w:pPr>
              <w:pStyle w:val="ListParagraph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6297BEF" w14:textId="39A32435" w:rsidR="00345B60" w:rsidRPr="00CA1998" w:rsidRDefault="00345B6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 w:cs="Sylfaen"/>
                <w:lang w:val="af-ZA"/>
              </w:rPr>
              <w:t>Այս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կապակցությամբ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առաջարկում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վերագնահատման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պարտավորություն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նախատեսել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աճի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 w:cs="Sylfaen"/>
                <w:lang w:val="af-ZA"/>
              </w:rPr>
              <w:t>դեպքում</w:t>
            </w:r>
            <w:r w:rsidRPr="00CA1998">
              <w:rPr>
                <w:rFonts w:ascii="GHEA Grapalat" w:hAnsi="GHEA Grapalat"/>
                <w:lang w:val="af-ZA"/>
              </w:rPr>
              <w:t xml:space="preserve"> (անշարժ գույքի արժեքի ավելի քան 10 տոկոս աճ այդ անշարժ գույքի վերջին գնահատված շուկայական արժեքի նկատմամբ): Դա թույլ կտա երաշխավորել հիփոթեքային պարտատոմսերի և դրանց ապահովման միջոցների համարժեքությունը: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47E" w14:textId="42FED5E5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 xml:space="preserve"> </w:t>
            </w:r>
          </w:p>
          <w:p w14:paraId="31599BF6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5C0F80B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6F8A95E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C866026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A238C4F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0CAB24D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B271AB3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6381FFD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2301A62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A70E38A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08454CB" w14:textId="1B6482B4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Չի ընդունվել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4932D422" w14:textId="77777777" w:rsidR="00345B60" w:rsidRPr="00CA1998" w:rsidRDefault="00345B60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  <w:p w14:paraId="43CA3F88" w14:textId="77777777" w:rsidR="00667BE7" w:rsidRPr="00CA1998" w:rsidRDefault="007735C9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>Հիփոթեքային պարտատոմսերի ապահովման միջոցների և այդ միջոցների զամբյուղի նկատմամբ Նախագծով սահմանվող պահանջները նպատակ ունեն ապահովել, որպեսզի զամբյուղում ներառված ակտիվների արժեքը</w:t>
            </w:r>
            <w:r w:rsidR="00667BE7" w:rsidRPr="00CA1998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="00667BE7" w:rsidRPr="00CA1998">
              <w:rPr>
                <w:rFonts w:ascii="GHEA Grapalat" w:hAnsi="GHEA Grapalat" w:cs="Sylfaen"/>
                <w:b/>
                <w:i/>
                <w:noProof/>
                <w:u w:val="single"/>
                <w:lang w:val="af-ZA"/>
              </w:rPr>
              <w:t>առնվազն հավասար լինի</w:t>
            </w:r>
            <w:r w:rsidR="00667BE7" w:rsidRPr="00CA1998">
              <w:rPr>
                <w:rFonts w:ascii="GHEA Grapalat" w:hAnsi="GHEA Grapalat" w:cs="Sylfaen"/>
                <w:b/>
                <w:i/>
                <w:noProof/>
                <w:lang w:val="af-ZA"/>
              </w:rPr>
              <w:t xml:space="preserve"> </w:t>
            </w:r>
            <w:r w:rsidR="00667BE7" w:rsidRPr="00CA1998">
              <w:rPr>
                <w:rFonts w:ascii="GHEA Grapalat" w:hAnsi="GHEA Grapalat" w:cs="Sylfaen"/>
                <w:noProof/>
                <w:lang w:val="af-ZA"/>
              </w:rPr>
              <w:t>թողարկված պարտատոմսերով ստանձնված պարտավորությունների ծավալին,  իսկ Նախագծով սահմանված դեպքերում (օրինակ` Նախագծի 8-րդ հոդվածի 1-ին մասի 3-րդ կետ) նաև սահմանված չափով գերազանցի այդ ծավալը:</w:t>
            </w:r>
          </w:p>
          <w:p w14:paraId="6F9DEF8A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  <w:p w14:paraId="0A09B235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 xml:space="preserve">Սակայն, Նախագիծն նպատակ չունի որևէ կերպ սահմանափակել զամբյուղում Նախագծով պահանջվող չափից ավելի ակտիվներ պահելու թողարկողի իրավունքը: </w:t>
            </w:r>
          </w:p>
          <w:p w14:paraId="596634D9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  <w:p w14:paraId="283E51E6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lastRenderedPageBreak/>
              <w:t>Ավելին, նման սահմանափակում նախատեսելը կհակասեր հիփոթեքային պարտատոմսերում ներդրողների շահերի պաշտպանությանը, ինչը Նախագծի ընդունման նպատակներից մեկն է:</w:t>
            </w:r>
          </w:p>
          <w:p w14:paraId="09BF895E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  <w:p w14:paraId="17DE9B9D" w14:textId="77777777" w:rsidR="00667BE7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  <w:p w14:paraId="2FB5C8D6" w14:textId="3CB76794" w:rsidR="007735C9" w:rsidRPr="00CA1998" w:rsidRDefault="00667BE7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 xml:space="preserve">Վերը նշված հանգամանքներով է պայմանավորված այն, որ Նախագծի 7-րդ հոդվածը չի պարտադրում </w:t>
            </w:r>
            <w:r w:rsidR="004F66AE" w:rsidRPr="00CA1998">
              <w:rPr>
                <w:rFonts w:ascii="GHEA Grapalat" w:hAnsi="GHEA Grapalat" w:cs="Sylfaen"/>
                <w:noProof/>
                <w:lang w:val="af-ZA"/>
              </w:rPr>
              <w:t>թողարկողին իրականացնել զամբյուղում ներառված անշարժ գույքի վերագնահատում, եթե այդ անշարժ գույքի շուկայական արժեքն աճում է: Այս դեպքում, վերագնահատում իրականացնելը պետք է թողնվի թողարկողի հայեցողությանը:</w:t>
            </w:r>
            <w:r w:rsidRPr="00CA1998">
              <w:rPr>
                <w:rFonts w:ascii="GHEA Grapalat" w:hAnsi="GHEA Grapalat" w:cs="Sylfaen"/>
                <w:noProof/>
                <w:lang w:val="af-ZA"/>
              </w:rPr>
              <w:t xml:space="preserve">  </w:t>
            </w:r>
          </w:p>
        </w:tc>
      </w:tr>
      <w:tr w:rsidR="00CA1998" w:rsidRPr="00CA1998" w14:paraId="7CF7C04D" w14:textId="77777777" w:rsidTr="007A2BCE">
        <w:trPr>
          <w:trHeight w:val="3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3EF5" w14:textId="79D8B5B3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25AF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5A8" w14:textId="77777777" w:rsidR="00345B60" w:rsidRPr="00CA1998" w:rsidRDefault="00345B6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273B549C" w14:textId="4823D5E1" w:rsidR="00345B60" w:rsidRPr="00CA1998" w:rsidRDefault="00345B6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2. Նախագծի 21-րդ հոդվածի 2-րդ կետով սահմանվում է Կենտրոնական դեպոզիտարիայի պարտավորությունը` կենտրոնական բանկի պահանջով վերջինիս համապատասխան տեղեկություններ տրամադրելու: Տեղեկատվության փոխանակման գործընթացը պատշաճ և օպերատիվ կազմակերպելու համար առաջարկում ենք սահմանել տեղեկությունների տրամադրման հստակ ժամկետներ` երկու աշխատանքային օրվա ընթացքում: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FF4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EA6DC5A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2606B4C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8010D2A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B62D3D4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A29BAB1" w14:textId="709B7658" w:rsidR="00345B60" w:rsidRPr="00CA1998" w:rsidRDefault="00E2140C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</w:t>
            </w:r>
            <w:r w:rsidR="00345B60" w:rsidRPr="00CA1998">
              <w:rPr>
                <w:rFonts w:ascii="GHEA Grapalat" w:hAnsi="GHEA Grapalat" w:cs="GHEA Grapalat"/>
                <w:b/>
                <w:i/>
                <w:lang w:val="af-ZA"/>
              </w:rPr>
              <w:t>նդունվել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6D7F34D3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41A7106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56EBC16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43267B7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5CC1BB82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F4356E0" w14:textId="77777777" w:rsidR="00E2140C" w:rsidRPr="00CA1998" w:rsidRDefault="00E2140C" w:rsidP="00566B28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6715641F" w14:textId="673814B4" w:rsidR="00D521D0" w:rsidRPr="00CA1998" w:rsidRDefault="00E2140C" w:rsidP="00566B28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</w:rPr>
            </w:pPr>
            <w:r w:rsidRPr="00CA1998">
              <w:rPr>
                <w:rFonts w:ascii="GHEA Grapalat" w:hAnsi="GHEA Grapalat"/>
                <w:lang w:val="af-ZA"/>
              </w:rPr>
              <w:t>Հոդվածը խմբագրվել է</w:t>
            </w:r>
          </w:p>
          <w:p w14:paraId="1DEBDFDC" w14:textId="77777777" w:rsidR="00345B60" w:rsidRPr="00CA1998" w:rsidRDefault="00345B60" w:rsidP="00566B28">
            <w:pPr>
              <w:spacing w:line="276" w:lineRule="auto"/>
              <w:rPr>
                <w:rFonts w:ascii="GHEA Grapalat" w:hAnsi="GHEA Grapalat" w:cs="Sylfaen"/>
                <w:noProof/>
                <w:lang w:val="af-ZA"/>
              </w:rPr>
            </w:pPr>
          </w:p>
        </w:tc>
      </w:tr>
      <w:tr w:rsidR="00CA1998" w:rsidRPr="00CA1998" w14:paraId="48CE9A5B" w14:textId="77777777" w:rsidTr="007A2BCE">
        <w:trPr>
          <w:trHeight w:val="8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B60B" w14:textId="26460408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2A4F3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B48" w14:textId="7E99690E" w:rsidR="00345B60" w:rsidRPr="00CA1998" w:rsidRDefault="00345B6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3.</w:t>
            </w:r>
            <w:r w:rsidR="00C14783" w:rsidRPr="00CA1998">
              <w:rPr>
                <w:rFonts w:ascii="GHEA Grapalat" w:hAnsi="GHEA Grapalat"/>
                <w:lang w:val="af-ZA"/>
              </w:rPr>
              <w:t xml:space="preserve">Նախագծի 7-րդ հոդվածի </w:t>
            </w:r>
            <w:r w:rsidR="00063150" w:rsidRPr="00CA1998">
              <w:rPr>
                <w:rFonts w:ascii="GHEA Grapalat" w:hAnsi="GHEA Grapalat"/>
                <w:lang w:val="af-ZA"/>
              </w:rPr>
              <w:t>2-րդ կետի “Այն դեպքում,” արտահայտությունից հետո ավելացնել “երբ” բառը և նույն կետից հանել “ապա” բառը.</w:t>
            </w:r>
          </w:p>
          <w:p w14:paraId="4D1F0021" w14:textId="77777777" w:rsidR="00345B60" w:rsidRPr="00CA1998" w:rsidRDefault="00345B60" w:rsidP="00566B28">
            <w:pPr>
              <w:pStyle w:val="ListParagraph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FB8" w14:textId="77777777" w:rsidR="00063150" w:rsidRPr="00CA1998" w:rsidRDefault="0006315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81E5DF7" w14:textId="77777777" w:rsidR="00063150" w:rsidRPr="00CA1998" w:rsidRDefault="0006315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954C396" w14:textId="5E603D9D" w:rsidR="00345B60" w:rsidRPr="00CA1998" w:rsidRDefault="0006315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2ADAEB4F" w14:textId="77777777" w:rsidR="00345B60" w:rsidRPr="00CA1998" w:rsidRDefault="00345B60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3390215D" w14:textId="77777777" w:rsidR="009D4DA3" w:rsidRPr="00CA1998" w:rsidRDefault="009D4DA3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03E023EB" w14:textId="2B81F491" w:rsidR="009D4DA3" w:rsidRPr="00CA1998" w:rsidRDefault="009D4DA3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>Հոդվածը խմբագրվել է</w:t>
            </w:r>
          </w:p>
        </w:tc>
      </w:tr>
      <w:tr w:rsidR="00CA1998" w:rsidRPr="00CA1998" w14:paraId="456DD9EF" w14:textId="77777777" w:rsidTr="007A2BCE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68E407D" w14:textId="77777777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6A4CC5D0" w14:textId="77777777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491" w14:textId="79096F74" w:rsidR="00195514" w:rsidRPr="00CA1998" w:rsidRDefault="00195514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4.Նախագծի 16-րդ և 17-րդ հոդվածների հաջորդականությունը փոխել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86A" w14:textId="77777777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3AF06A6" w14:textId="01FE8C2F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1A8A5AC" w14:textId="77777777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0C9EDC15" w14:textId="4DE89A3D" w:rsidR="00195514" w:rsidRPr="00CA1998" w:rsidRDefault="00195514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>Հոդվածը խմբագրվել է</w:t>
            </w:r>
          </w:p>
        </w:tc>
      </w:tr>
      <w:tr w:rsidR="00CA1998" w:rsidRPr="00CA1998" w14:paraId="6C385AB0" w14:textId="77777777" w:rsidTr="007A2BCE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7E16045" w14:textId="77777777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3C36FD20" w14:textId="77777777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819" w14:textId="3E8DC3AF" w:rsidR="00A43D11" w:rsidRPr="00CA1998" w:rsidRDefault="00A43D1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5.Նախագծի 23-րդ հոդվածի 5-րդ կետի “կառավարչի կողմից” բառերից առաջ ավելացնել “որոշումը” բառը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3CC" w14:textId="77777777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106E7E5" w14:textId="29307F50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76B74A1" w14:textId="77777777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70FB1A99" w14:textId="406603CE" w:rsidR="00A43D11" w:rsidRPr="00CA1998" w:rsidRDefault="00A43D11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>Հոդվածը խմբագրվել է</w:t>
            </w:r>
          </w:p>
        </w:tc>
      </w:tr>
      <w:tr w:rsidR="00CA1998" w:rsidRPr="00CA1998" w14:paraId="066C6A89" w14:textId="77777777" w:rsidTr="007A2BCE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EBFE481" w14:textId="77777777" w:rsidR="00CA709F" w:rsidRPr="00CA1998" w:rsidRDefault="00CA709F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32AE155C" w14:textId="77777777" w:rsidR="00CA709F" w:rsidRPr="00CA1998" w:rsidRDefault="00CA709F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4DC" w14:textId="5DD2D91A" w:rsidR="00CA709F" w:rsidRPr="00CA1998" w:rsidRDefault="00CA709F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6.Նախագծի 30-րդ հոդվածի 1-ին կետի “կառավարիչների” բառը փոխարինել “ղեկավարի” բառով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2B2" w14:textId="77777777" w:rsidR="007735C9" w:rsidRPr="00CA1998" w:rsidRDefault="007735C9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33C8EFA" w14:textId="0AA355E7" w:rsidR="00CA709F" w:rsidRPr="00CA1998" w:rsidRDefault="007735C9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C5C9DD8" w14:textId="77777777" w:rsidR="00CA709F" w:rsidRPr="00CA1998" w:rsidRDefault="00CA709F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2545EB9B" w14:textId="682056BC" w:rsidR="007735C9" w:rsidRPr="00CA1998" w:rsidRDefault="007735C9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 w:cs="Sylfaen"/>
                <w:noProof/>
                <w:lang w:val="af-ZA"/>
              </w:rPr>
              <w:t>Հոդվածը խմբագրվել է</w:t>
            </w:r>
          </w:p>
        </w:tc>
      </w:tr>
      <w:tr w:rsidR="00CA1998" w:rsidRPr="00CA1998" w14:paraId="36DA44FF" w14:textId="77777777" w:rsidTr="007A2BCE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3823D37" w14:textId="77777777" w:rsidR="005728AB" w:rsidRPr="00CA1998" w:rsidRDefault="005728AB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56732698" w14:textId="77777777" w:rsidR="005728AB" w:rsidRPr="00CA1998" w:rsidRDefault="005728A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73A" w14:textId="492D7D12" w:rsidR="005728AB" w:rsidRPr="00CA1998" w:rsidRDefault="005728AB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7.Նախագծի 33-րդ հոդվածի 1-ին կետի “31-րդ հոդվածով նախատեսված” բառերը փոխարինել “30-րդ հոդվածով նախատեսված” բառերով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188" w14:textId="77777777" w:rsidR="00B23EA5" w:rsidRPr="00CA1998" w:rsidRDefault="00B23EA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AF2B17A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B8F7CA5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AADB25D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4A06D41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98C3DCB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42B4CCC" w14:textId="77777777" w:rsidR="00E86F46" w:rsidRPr="00CA1998" w:rsidRDefault="00E86F46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F96B605" w14:textId="35BEF8FB" w:rsidR="005728AB" w:rsidRPr="00CA1998" w:rsidRDefault="00B23EA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Չի ընդունվել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AFD0527" w14:textId="77777777" w:rsidR="005728AB" w:rsidRPr="00CA1998" w:rsidRDefault="005728AB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</w:p>
          <w:p w14:paraId="2A74793A" w14:textId="426AE74A" w:rsidR="00E86F46" w:rsidRPr="00CA1998" w:rsidRDefault="00E86F46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Նախագծի 33-րդ հոդվածի 1-ին մասում հղում պետք է արվի նախագծի այն հոդվածին, որով </w:t>
            </w:r>
            <w:r w:rsidR="004F66AE" w:rsidRPr="00CA1998">
              <w:rPr>
                <w:rFonts w:ascii="GHEA Grapalat" w:hAnsi="GHEA Grapalat"/>
                <w:lang w:val="af-ZA"/>
              </w:rPr>
              <w:t>թվարկվում</w:t>
            </w:r>
            <w:r w:rsidRPr="00CA1998">
              <w:rPr>
                <w:rFonts w:ascii="GHEA Grapalat" w:hAnsi="GHEA Grapalat"/>
                <w:lang w:val="af-ZA"/>
              </w:rPr>
              <w:t xml:space="preserve"> են կիրառման ենթակա պատասխանատվության միջոցների տեսակները: </w:t>
            </w:r>
            <w:r w:rsidRPr="00CA1998">
              <w:rPr>
                <w:rFonts w:ascii="GHEA Grapalat" w:hAnsi="GHEA Grapalat"/>
                <w:lang w:val="af-ZA"/>
              </w:rPr>
              <w:lastRenderedPageBreak/>
              <w:t>Կիրառման ենթակա պատասխանատվության միջոցների տեսակները թվարկված են Նախագծի 31-րդ հոդվածում, ուստի և` հղումն անհրաժեշտ է անել այդ հոդվածին:</w:t>
            </w:r>
          </w:p>
          <w:p w14:paraId="53D1E8BC" w14:textId="3E6DDF63" w:rsidR="00E86F46" w:rsidRPr="00CA1998" w:rsidRDefault="00E86F46" w:rsidP="00566B28">
            <w:pPr>
              <w:spacing w:line="276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CA1998" w:rsidRPr="00CA1998" w14:paraId="755E0020" w14:textId="77777777" w:rsidTr="00D342D6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34867230" w14:textId="515B6A7B" w:rsidR="00F2403E" w:rsidRPr="00CA1998" w:rsidRDefault="00F2403E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24D77428" w14:textId="77777777" w:rsidR="00F2403E" w:rsidRPr="00CA1998" w:rsidRDefault="00F2403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867" w14:textId="6F6BE3D3" w:rsidR="00F2403E" w:rsidRPr="00CA1998" w:rsidRDefault="00F2403E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8.Նախագծի 36-րդ մասի “սույն օրենքի” բառերից հետո ավելացնել “3-րդ հոդվածի 1-ին մասի 12-րդ կետի և” բառերը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843" w14:textId="77777777" w:rsidR="00F2403E" w:rsidRPr="00CA1998" w:rsidRDefault="00F2403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2E0E4AF2" w14:textId="2C0DCAEB" w:rsidR="00F2403E" w:rsidRPr="00CA1998" w:rsidRDefault="001B4620" w:rsidP="00566B28">
            <w:pPr>
              <w:spacing w:line="276" w:lineRule="auto"/>
              <w:jc w:val="center"/>
              <w:rPr>
                <w:rFonts w:ascii="GHEA Grapalat" w:hAnsi="GHEA Grapalat" w:cs="Sylfaen"/>
                <w:noProof/>
                <w:lang w:val="af-ZA"/>
              </w:rPr>
            </w:pP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36-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3-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1-</w:t>
            </w:r>
            <w:r w:rsidRPr="00CA1998">
              <w:rPr>
                <w:rFonts w:ascii="GHEA Grapalat" w:hAnsi="GHEA Grapalat"/>
              </w:rPr>
              <w:t>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</w:t>
            </w:r>
            <w:r w:rsidRPr="00CA1998">
              <w:rPr>
                <w:rFonts w:ascii="GHEA Grapalat" w:hAnsi="GHEA Grapalat"/>
                <w:lang w:val="af-ZA"/>
              </w:rPr>
              <w:t xml:space="preserve"> 12-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կետը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խմբագրվել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</w:p>
        </w:tc>
      </w:tr>
      <w:tr w:rsidR="00CA1998" w:rsidRPr="00CA1998" w14:paraId="06FD7DF5" w14:textId="77777777" w:rsidTr="004B392E">
        <w:trPr>
          <w:trHeight w:val="87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2F56" w14:textId="702CC42B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A1998">
              <w:rPr>
                <w:rFonts w:ascii="GHEA Grapalat" w:hAnsi="GHEA Grapalat" w:cs="Sylfaen"/>
                <w:lang w:val="af-ZA"/>
              </w:rPr>
              <w:t>6.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48D687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435AD62E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0242E6E2" w14:textId="30D177DF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ru-RU"/>
              </w:rPr>
              <w:t>ՀՀ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արդարադատության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</w:p>
          <w:p w14:paraId="5BA02A5E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</w:pPr>
          </w:p>
          <w:p w14:paraId="2A862FD2" w14:textId="2B7C7B55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</w:pPr>
            <w:r w:rsidRPr="00CA1998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N </w:t>
            </w:r>
            <w:r w:rsidRPr="00CA1998">
              <w:rPr>
                <w:rFonts w:ascii="GHEA Grapalat" w:hAnsi="GHEA Grapalat" w:cs="GHEA Grapalat"/>
                <w:b/>
                <w:bCs/>
                <w:i/>
                <w:lang w:val="af-ZA"/>
              </w:rPr>
              <w:t>01/14/1hh43-17-17</w:t>
            </w:r>
          </w:p>
          <w:p w14:paraId="431BCA03" w14:textId="67292532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CA1998">
              <w:rPr>
                <w:rFonts w:ascii="GHEA Grapalat" w:hAnsi="GHEA Grapalat" w:cs="GHEA Grapalat"/>
                <w:b/>
                <w:bCs/>
                <w:i/>
                <w:lang w:val="en-US"/>
              </w:rPr>
              <w:t>14.07.2017թ.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717" w14:textId="77777777" w:rsidR="004B392E" w:rsidRPr="00CA1998" w:rsidRDefault="004B392E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35A95E47" w14:textId="77777777" w:rsidR="00F5572A" w:rsidRPr="00CA1998" w:rsidRDefault="004B392E" w:rsidP="00566B28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1. </w:t>
            </w:r>
            <w:r w:rsidR="00F5572A" w:rsidRPr="00CA1998">
              <w:rPr>
                <w:rFonts w:ascii="GHEA Grapalat" w:hAnsi="GHEA Grapalat"/>
              </w:rPr>
              <w:t>Նախագծի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31-</w:t>
            </w:r>
            <w:r w:rsidR="00F5572A" w:rsidRPr="00CA1998">
              <w:rPr>
                <w:rFonts w:ascii="GHEA Grapalat" w:hAnsi="GHEA Grapalat"/>
              </w:rPr>
              <w:t>րդ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հոդվածի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1-</w:t>
            </w:r>
            <w:r w:rsidR="00F5572A" w:rsidRPr="00CA1998">
              <w:rPr>
                <w:rFonts w:ascii="GHEA Grapalat" w:hAnsi="GHEA Grapalat"/>
              </w:rPr>
              <w:t>ին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մասից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անհրաժեշտ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հանել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&lt;</w:t>
            </w:r>
            <w:r w:rsidR="00F5572A" w:rsidRPr="00CA1998">
              <w:rPr>
                <w:rFonts w:ascii="GHEA Grapalat" w:hAnsi="GHEA Grapalat"/>
              </w:rPr>
              <w:t>կարող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&gt; </w:t>
            </w:r>
            <w:r w:rsidR="00F5572A" w:rsidRPr="00CA1998">
              <w:rPr>
                <w:rFonts w:ascii="GHEA Grapalat" w:hAnsi="GHEA Grapalat"/>
              </w:rPr>
              <w:t>բառերը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քանի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որ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առաջարկվող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ձևակերպմամբ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նախագիծն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մեջ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պարունակում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Հայաստանի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Հանրապետության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կառավարության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2009 </w:t>
            </w:r>
            <w:r w:rsidR="00F5572A" w:rsidRPr="00CA1998">
              <w:rPr>
                <w:rFonts w:ascii="GHEA Grapalat" w:hAnsi="GHEA Grapalat"/>
              </w:rPr>
              <w:t>թվականի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հոկտեմբերի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22-</w:t>
            </w:r>
            <w:r w:rsidR="00F5572A" w:rsidRPr="00CA1998">
              <w:rPr>
                <w:rFonts w:ascii="GHEA Grapalat" w:hAnsi="GHEA Grapalat"/>
              </w:rPr>
              <w:t>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&lt;</w:t>
            </w:r>
            <w:r w:rsidR="00F5572A" w:rsidRPr="00CA1998">
              <w:rPr>
                <w:rFonts w:ascii="GHEA Grapalat" w:hAnsi="GHEA Grapalat"/>
              </w:rPr>
              <w:t>Նորմատիվ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իրավական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ակտերի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նախագծերի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հակակոռուպցիոն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բնագավառում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կարգավորման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ազդեցության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գնահատման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իրականացման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կարգը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հաստատելու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մասին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&gt; </w:t>
            </w:r>
            <w:r w:rsidR="00F5572A" w:rsidRPr="00CA1998">
              <w:rPr>
                <w:rFonts w:ascii="GHEA Grapalat" w:hAnsi="GHEA Grapalat"/>
              </w:rPr>
              <w:t>թիվ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1205-</w:t>
            </w:r>
            <w:r w:rsidR="00F5572A" w:rsidRPr="00CA1998">
              <w:rPr>
                <w:rFonts w:ascii="GHEA Grapalat" w:hAnsi="GHEA Grapalat"/>
              </w:rPr>
              <w:t>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որոշմամբ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հաստատված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կարգի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9-</w:t>
            </w:r>
            <w:r w:rsidR="00F5572A" w:rsidRPr="00CA1998">
              <w:rPr>
                <w:rFonts w:ascii="GHEA Grapalat" w:hAnsi="GHEA Grapalat"/>
              </w:rPr>
              <w:t>րդ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կետի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1-</w:t>
            </w:r>
            <w:r w:rsidR="00F5572A" w:rsidRPr="00CA1998">
              <w:rPr>
                <w:rFonts w:ascii="GHEA Grapalat" w:hAnsi="GHEA Grapalat"/>
              </w:rPr>
              <w:t>ին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ենթակետով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սահմանված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կոռուպցիոն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գործոնը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որը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դրսևորվում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պաշտոնատար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անձանց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իրավունքների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ու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պարտականությունների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ոչ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հստակ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լինելով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: </w:t>
            </w:r>
            <w:r w:rsidR="00F5572A" w:rsidRPr="00CA1998">
              <w:rPr>
                <w:rFonts w:ascii="GHEA Grapalat" w:hAnsi="GHEA Grapalat"/>
              </w:rPr>
              <w:t>Պաշտոնատար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անձանց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իրավունքների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և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պարտականությունների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ոչ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հստակ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լինելը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որպես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կոռուպցիոն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գործոն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հիմնականում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արտահայտվում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նորմատիվ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իրավական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ակտում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պետական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մարմնի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(</w:t>
            </w:r>
            <w:r w:rsidR="00F5572A" w:rsidRPr="00CA1998">
              <w:rPr>
                <w:rFonts w:ascii="GHEA Grapalat" w:hAnsi="GHEA Grapalat"/>
              </w:rPr>
              <w:t>պաշտոնատար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անձի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) </w:t>
            </w:r>
            <w:r w:rsidR="00F5572A" w:rsidRPr="00CA1998">
              <w:rPr>
                <w:rFonts w:ascii="GHEA Grapalat" w:hAnsi="GHEA Grapalat"/>
              </w:rPr>
              <w:t>իրավասությունները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&lt;</w:t>
            </w:r>
            <w:r w:rsidR="00F5572A" w:rsidRPr="00CA1998">
              <w:rPr>
                <w:rFonts w:ascii="GHEA Grapalat" w:hAnsi="GHEA Grapalat"/>
              </w:rPr>
              <w:t>իրավասու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&gt; </w:t>
            </w:r>
            <w:r w:rsidR="00F5572A" w:rsidRPr="00CA1998">
              <w:rPr>
                <w:rFonts w:ascii="GHEA Grapalat" w:hAnsi="GHEA Grapalat"/>
              </w:rPr>
              <w:t>կամ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&lt;</w:t>
            </w:r>
            <w:r w:rsidR="00F5572A" w:rsidRPr="00CA1998">
              <w:rPr>
                <w:rFonts w:ascii="GHEA Grapalat" w:hAnsi="GHEA Grapalat"/>
              </w:rPr>
              <w:t>կարող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&gt; </w:t>
            </w:r>
            <w:r w:rsidR="00F5572A" w:rsidRPr="00CA1998">
              <w:rPr>
                <w:rFonts w:ascii="GHEA Grapalat" w:hAnsi="GHEA Grapalat"/>
              </w:rPr>
              <w:t>արտահայտություններով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ձևակերպելու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միջոցով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ինչը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հանգեցնում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է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իրավասությունը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որպես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հնարավորություն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5572A" w:rsidRPr="00CA1998">
              <w:rPr>
                <w:rFonts w:ascii="GHEA Grapalat" w:hAnsi="GHEA Grapalat"/>
              </w:rPr>
              <w:t>այլ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ոչ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թե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որպես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պարտավորություն</w:t>
            </w:r>
            <w:r w:rsidR="00F5572A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5572A" w:rsidRPr="00CA1998">
              <w:rPr>
                <w:rFonts w:ascii="GHEA Grapalat" w:hAnsi="GHEA Grapalat"/>
              </w:rPr>
              <w:t>մեկնաբանելուն</w:t>
            </w:r>
            <w:r w:rsidR="00F5572A" w:rsidRPr="00CA1998">
              <w:rPr>
                <w:rFonts w:ascii="GHEA Grapalat" w:hAnsi="GHEA Grapalat"/>
                <w:lang w:val="af-ZA"/>
              </w:rPr>
              <w:t>:</w:t>
            </w:r>
          </w:p>
          <w:p w14:paraId="3D928D9B" w14:textId="77777777" w:rsidR="00F5572A" w:rsidRPr="00CA1998" w:rsidRDefault="00F5572A" w:rsidP="00566B28">
            <w:pPr>
              <w:widowControl w:val="0"/>
              <w:spacing w:line="276" w:lineRule="auto"/>
              <w:ind w:firstLine="54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31-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տրվում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իրավախատումների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ցանկը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որոնց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պատասխանատվության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կիրառում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Ընդ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որում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հիշյալ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ցանկը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սպառիչ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հաշվի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առնելով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31-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1-</w:t>
            </w:r>
            <w:r w:rsidRPr="00CA1998">
              <w:rPr>
                <w:rFonts w:ascii="GHEA Grapalat" w:hAnsi="GHEA Grapalat"/>
              </w:rPr>
              <w:t>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</w:t>
            </w:r>
            <w:r w:rsidRPr="00CA1998">
              <w:rPr>
                <w:rFonts w:ascii="GHEA Grapalat" w:hAnsi="GHEA Grapalat"/>
                <w:lang w:val="af-ZA"/>
              </w:rPr>
              <w:t xml:space="preserve"> 7-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կետի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ձևակերպումը՝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սույն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դրա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վրա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ընդունված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նորմատիվ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ինչպես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թողարկողի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ներքին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պահանջները</w:t>
            </w:r>
            <w:r w:rsidRPr="00CA1998">
              <w:rPr>
                <w:rFonts w:ascii="GHEA Grapalat" w:hAnsi="GHEA Grapalat"/>
                <w:lang w:val="af-ZA"/>
              </w:rPr>
              <w:t xml:space="preserve">&gt;: </w:t>
            </w:r>
            <w:r w:rsidRPr="00CA1998">
              <w:rPr>
                <w:rFonts w:ascii="GHEA Grapalat" w:hAnsi="GHEA Grapalat"/>
              </w:rPr>
              <w:t>Նման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ձևակերպումն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ուղղակիորեն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հակասում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որոշակիության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սկզբունքին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Սահմանադրական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դատարանի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դիրքորոշման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</w:t>
            </w:r>
            <w:r w:rsidRPr="00CA1998">
              <w:rPr>
                <w:rFonts w:ascii="GHEA Grapalat" w:hAnsi="GHEA Grapalat"/>
                <w:lang w:val="af-ZA"/>
              </w:rPr>
              <w:t xml:space="preserve">  (</w:t>
            </w:r>
            <w:r w:rsidRPr="00CA1998">
              <w:rPr>
                <w:rFonts w:ascii="GHEA Grapalat" w:hAnsi="GHEA Grapalat"/>
              </w:rPr>
              <w:t>ՍԴՈ</w:t>
            </w:r>
            <w:r w:rsidRPr="00CA1998">
              <w:rPr>
                <w:rFonts w:ascii="GHEA Grapalat" w:hAnsi="GHEA Grapalat"/>
                <w:lang w:val="af-ZA"/>
              </w:rPr>
              <w:t>-753)</w:t>
            </w:r>
            <w:r w:rsidRPr="00CA1998">
              <w:rPr>
                <w:rFonts w:ascii="GHEA Grapalat" w:hAnsi="GHEA Grapalat"/>
              </w:rPr>
              <w:t>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սկզբունքը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թիվս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այլոց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պահանջում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առկայություն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Վերջինս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լինի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բավականաչափ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մատչելի</w:t>
            </w:r>
            <w:r w:rsidRPr="00CA1998">
              <w:rPr>
                <w:rFonts w:ascii="GHEA Grapalat" w:hAnsi="GHEA Grapalat"/>
                <w:lang w:val="af-ZA"/>
              </w:rPr>
              <w:t xml:space="preserve">. </w:t>
            </w:r>
            <w:r w:rsidRPr="00CA1998">
              <w:rPr>
                <w:rFonts w:ascii="GHEA Grapalat" w:hAnsi="GHEA Grapalat"/>
              </w:rPr>
              <w:t>իրավունքի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սուբյեկտները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հանգամանքներում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հնարավորություն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ունենան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կանխորոշելու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տվյալ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ինչ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նորմեր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կիրառվում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Սահմանադրական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դատարանը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ՍԴՈ</w:t>
            </w:r>
            <w:r w:rsidRPr="00CA1998">
              <w:rPr>
                <w:rFonts w:ascii="GHEA Grapalat" w:hAnsi="GHEA Grapalat"/>
                <w:lang w:val="af-ZA"/>
              </w:rPr>
              <w:t xml:space="preserve">-630 </w:t>
            </w:r>
            <w:r w:rsidRPr="00CA1998">
              <w:rPr>
                <w:rFonts w:ascii="GHEA Grapalat" w:hAnsi="GHEA Grapalat"/>
              </w:rPr>
              <w:t>որոշման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մեջ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հղում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տալով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ՄԻԵԴ</w:t>
            </w:r>
            <w:r w:rsidRPr="00CA1998">
              <w:rPr>
                <w:rFonts w:ascii="GHEA Grapalat" w:hAnsi="GHEA Grapalat"/>
                <w:lang w:val="af-ZA"/>
              </w:rPr>
              <w:t>-</w:t>
            </w:r>
            <w:r w:rsidRPr="00CA1998">
              <w:rPr>
                <w:rFonts w:ascii="GHEA Grapalat" w:hAnsi="GHEA Grapalat"/>
              </w:rPr>
              <w:t>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շարք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վճիռներում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արտահայտված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դիրքորոշմանը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նշել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նորմը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օրենք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համարվել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եթե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որոշակիության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սկզբունքին</w:t>
            </w:r>
            <w:r w:rsidRPr="00CA1998">
              <w:rPr>
                <w:rFonts w:ascii="GHEA Grapalat" w:hAnsi="GHEA Grapalat"/>
                <w:lang w:val="af-ZA"/>
              </w:rPr>
              <w:t xml:space="preserve"> (res judicata), </w:t>
            </w:r>
            <w:r w:rsidRPr="00CA1998">
              <w:rPr>
                <w:rFonts w:ascii="GHEA Grapalat" w:hAnsi="GHEA Grapalat"/>
              </w:rPr>
              <w:t>այսինքն՝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ձևակերպված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բավարար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ճշգրտությամբ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թույլ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կտա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իրավաբանական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ֆիզիկական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անձանց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համապատասխանեցնել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իրենց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վարքագիծը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նրանք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հնարավորություն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ունենան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կանխատեսել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հետևանքները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որոնք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առաջացնել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տվյալ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գործողությունը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ՄԻԵԴ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նախադեպային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վճիռների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որոշակիության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սկզբունքը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ձևակերպված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լինի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այնպիսի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հստակությամբ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թույլ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կտա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շահագրգիռ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անձին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անհրաժեշտության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խորհրդատվությունից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օգտվելով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համապատասխանեցնելու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վարքագիծը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կարգավորումներին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կանխատեսելու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հետևանքները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որոնք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առաջանալ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գործողությունների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հետևանքով</w:t>
            </w:r>
            <w:r w:rsidRPr="00CA1998">
              <w:rPr>
                <w:rFonts w:ascii="GHEA Grapalat" w:hAnsi="GHEA Grapalat"/>
                <w:lang w:val="af-ZA"/>
              </w:rPr>
              <w:t xml:space="preserve"> (Sunday Times vs. UK (1979), Marckx v. Belgium (1979), Amann v. Switzerland (2000), Rotaru v. Romania) </w:t>
            </w:r>
            <w:r w:rsidRPr="00CA1998">
              <w:rPr>
                <w:rFonts w:ascii="GHEA Grapalat" w:hAnsi="GHEA Grapalat"/>
                <w:lang w:val="af-ZA"/>
              </w:rPr>
              <w:lastRenderedPageBreak/>
              <w:t>(2000)&gt;:</w:t>
            </w:r>
          </w:p>
          <w:p w14:paraId="1C21B1C7" w14:textId="79FCF596" w:rsidR="004B392E" w:rsidRPr="00CA1998" w:rsidRDefault="004B392E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112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2DF4BA0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B651C07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8E187B5" w14:textId="77777777" w:rsidR="009C58CB" w:rsidRPr="00CA1998" w:rsidRDefault="009C58C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F1FFFA6" w14:textId="77777777" w:rsidR="009C58CB" w:rsidRPr="00CA1998" w:rsidRDefault="009C58C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99F556D" w14:textId="77777777" w:rsidR="009C58CB" w:rsidRPr="00CA1998" w:rsidRDefault="009C58C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09D1370" w14:textId="77777777" w:rsidR="009C58CB" w:rsidRPr="00CA1998" w:rsidRDefault="009C58C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0F12FC1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FC1D894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3ADED38" w14:textId="74E99701" w:rsidR="004B392E" w:rsidRPr="00CA1998" w:rsidRDefault="00F5572A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B54EB76" w14:textId="77777777" w:rsidR="00F5572A" w:rsidRPr="00CA1998" w:rsidRDefault="00F5572A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3D9DFEA" w14:textId="77777777" w:rsidR="00F5572A" w:rsidRPr="00CA1998" w:rsidRDefault="00F5572A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186FE9E1" w14:textId="77777777" w:rsidR="00F5572A" w:rsidRPr="00CA1998" w:rsidRDefault="00F5572A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24FF6530" w14:textId="77777777" w:rsidR="009C58CB" w:rsidRPr="00CA1998" w:rsidRDefault="009C58CB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4D9B070" w14:textId="77777777" w:rsidR="009C58CB" w:rsidRPr="00CA1998" w:rsidRDefault="009C58CB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5E52A166" w14:textId="77777777" w:rsidR="009C58CB" w:rsidRPr="00CA1998" w:rsidRDefault="009C58CB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2306AD15" w14:textId="77777777" w:rsidR="009C58CB" w:rsidRPr="00CA1998" w:rsidRDefault="009C58CB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186C165C" w14:textId="77777777" w:rsidR="00F5572A" w:rsidRPr="00CA1998" w:rsidRDefault="00F5572A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52725396" w14:textId="55BFD4D6" w:rsidR="004B392E" w:rsidRPr="00CA1998" w:rsidRDefault="00F5572A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31-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1-</w:t>
            </w:r>
            <w:r w:rsidRPr="00CA1998">
              <w:rPr>
                <w:rFonts w:ascii="GHEA Grapalat" w:hAnsi="GHEA Grapalat"/>
              </w:rPr>
              <w:t>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“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” </w:t>
            </w:r>
            <w:r w:rsidRPr="00CA1998">
              <w:rPr>
                <w:rFonts w:ascii="GHEA Grapalat" w:hAnsi="GHEA Grapalat"/>
              </w:rPr>
              <w:t>բառը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CA1998" w:rsidRPr="00CA1998" w14:paraId="188033A3" w14:textId="77777777" w:rsidTr="00FF3320">
        <w:trPr>
          <w:trHeight w:val="8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54BDC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BF1BE" w14:textId="77777777" w:rsidR="004B392E" w:rsidRPr="00CA1998" w:rsidRDefault="004B392E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2FB" w14:textId="77777777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3E89626" w14:textId="77777777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0D5D00F" w14:textId="6D4A4F85" w:rsidR="004B392E" w:rsidRPr="00CA1998" w:rsidRDefault="004B392E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2.</w:t>
            </w:r>
            <w:r w:rsidR="000135B8" w:rsidRPr="00CA1998">
              <w:rPr>
                <w:rFonts w:ascii="GHEA Grapalat" w:hAnsi="GHEA Grapalat"/>
                <w:lang w:val="af-ZA"/>
              </w:rPr>
              <w:t xml:space="preserve"> Նախագծի 3-րդ հոդվածի 1-ին մասի 12-րդ կետում հղում է կատարվում “Բնակարանային հիփոթեքային կրեդիտավորման մասին” ՀՀ օրենքին, մինչդեռ` “Իրավական ակտերի մասին” ՀՀ օրենքի 43-րդ հոդվածի 6-րդ մասի համաձայն արգելվում է հղումներ կատարել սահմանված կարգով ուժի մեջ չմտած իրավական ակտերին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9B9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625226E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9A696B3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6F02879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64D5C76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0E0DEAE" w14:textId="77777777" w:rsidR="000135B8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59B6E3F" w14:textId="103DBF02" w:rsidR="004B392E" w:rsidRPr="00CA1998" w:rsidRDefault="000135B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Չի ընդունվել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CD53062" w14:textId="77777777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</w:t>
            </w:r>
          </w:p>
          <w:p w14:paraId="0086C9E7" w14:textId="77777777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2BB717D" w14:textId="59ADEDC0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“Բնակարանային հիփոթեքային կրեդիտավորման մասին” ՀՀ օրենքին հղում պարունակող Նախագծի 3-րդ հոդվածի 1-ին մասի 12-րդ կետն ուժի մեջ է մտնում “Բնակարանային հիփոթեքային կրեդիտավորման մասին” ՀՀ օրենքն ուժի մեջ մտնելու օրվանից (տես` Նախագծի 36-րդ):</w:t>
            </w:r>
          </w:p>
          <w:p w14:paraId="4DFC4CA7" w14:textId="77777777" w:rsidR="004B392E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 Հետևաբար, որևէ հակասություն “Իրավական ակտերի մասին” ՀՀ օրենքի հետ բացակայում է:</w:t>
            </w:r>
          </w:p>
          <w:p w14:paraId="56E13377" w14:textId="1BFDC6E4" w:rsidR="000135B8" w:rsidRPr="00CA1998" w:rsidRDefault="000135B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A1998" w:rsidRPr="00CA1998" w14:paraId="6EC92E3B" w14:textId="77777777" w:rsidTr="00FF3320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669D016E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304CCFE0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EAA" w14:textId="77777777" w:rsidR="00DB057A" w:rsidRPr="00CA1998" w:rsidRDefault="00DB057A" w:rsidP="00566B28">
            <w:pPr>
              <w:widowControl w:val="0"/>
              <w:spacing w:line="276" w:lineRule="auto"/>
              <w:ind w:hanging="1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14:paraId="2F016463" w14:textId="6374F6D7" w:rsidR="00FF3320" w:rsidRPr="00CA1998" w:rsidRDefault="00FF3320" w:rsidP="00566B28">
            <w:pPr>
              <w:widowControl w:val="0"/>
              <w:spacing w:line="276" w:lineRule="auto"/>
              <w:ind w:hanging="1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3.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5-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պարտատոմսերի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կապված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հարաբերությունները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Հարկ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վերաբերյալ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քննարկել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Ապահովված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պարտատոմսերի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(</w:t>
            </w:r>
            <w:r w:rsidRPr="00CA1998">
              <w:rPr>
                <w:rFonts w:ascii="GHEA Grapalat" w:hAnsi="GHEA Grapalat"/>
              </w:rPr>
              <w:t>այսուհետ՝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</w:t>
            </w:r>
            <w:r w:rsidRPr="00CA1998">
              <w:rPr>
                <w:rFonts w:ascii="GHEA Grapalat" w:hAnsi="GHEA Grapalat"/>
                <w:lang w:val="af-ZA"/>
              </w:rPr>
              <w:t xml:space="preserve">) </w:t>
            </w:r>
            <w:r w:rsidRPr="00CA1998">
              <w:rPr>
                <w:rFonts w:ascii="GHEA Grapalat" w:hAnsi="GHEA Grapalat"/>
              </w:rPr>
              <w:t>կարգավորումների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համակարգային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կապի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մեջ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Այսպես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5-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1-</w:t>
            </w:r>
            <w:r w:rsidRPr="00CA1998">
              <w:rPr>
                <w:rFonts w:ascii="GHEA Grapalat" w:hAnsi="GHEA Grapalat"/>
              </w:rPr>
              <w:t>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պարտատոմսերը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լինեն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գրավով</w:t>
            </w:r>
            <w:r w:rsidRPr="00CA1998">
              <w:rPr>
                <w:rFonts w:ascii="GHEA Grapalat" w:hAnsi="GHEA Grapalat"/>
                <w:lang w:val="af-ZA"/>
              </w:rPr>
              <w:t xml:space="preserve"> (</w:t>
            </w:r>
            <w:r w:rsidRPr="00CA1998">
              <w:rPr>
                <w:rFonts w:ascii="GHEA Grapalat" w:hAnsi="GHEA Grapalat"/>
              </w:rPr>
              <w:t>հիմնական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ակտիվներով</w:t>
            </w:r>
            <w:r w:rsidRPr="00CA1998">
              <w:rPr>
                <w:rFonts w:ascii="GHEA Grapalat" w:hAnsi="GHEA Grapalat"/>
                <w:lang w:val="af-ZA"/>
              </w:rPr>
              <w:t xml:space="preserve">): </w:t>
            </w:r>
            <w:r w:rsidRPr="00CA1998">
              <w:rPr>
                <w:rFonts w:ascii="GHEA Grapalat" w:hAnsi="GHEA Grapalat"/>
              </w:rPr>
              <w:t>Նույն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2-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դեպքերը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երբ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ակտիվներով՝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սահմանելով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</w:t>
            </w:r>
            <w:bookmarkStart w:id="0" w:name="_GoBack"/>
            <w:bookmarkEnd w:id="0"/>
            <w:r w:rsidRPr="00CA1998">
              <w:rPr>
                <w:rFonts w:ascii="GHEA Grapalat" w:hAnsi="GHEA Grapalat"/>
              </w:rPr>
              <w:t>ողարկողին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թուլյատրվում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ակտիվներով՝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ակտիվների՝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հիմքերով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դուրսգրման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Մինչդեռ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ստացվում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անկախ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ակտիվների՝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դուրս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գրված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լինելու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չլինելու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հանգամանքից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թողարկողին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հնարավորություն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տրվում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Միաժամանակ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վերաբերյալ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մեջ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ներկայացված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տեղեկություններ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ինչը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հնարավորություն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տալիս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հիմնավորվածությունը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նպատակահարմարությունը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առումով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հիմնավորումն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անհրաժեշտ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լրամշակել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համապատասխանեցնել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մշակման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մեթոդական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ցուցումներին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հավանություն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կառավարության</w:t>
            </w:r>
            <w:r w:rsidRPr="00CA1998">
              <w:rPr>
                <w:rFonts w:ascii="GHEA Grapalat" w:hAnsi="GHEA Grapalat"/>
                <w:lang w:val="af-ZA"/>
              </w:rPr>
              <w:t xml:space="preserve"> 2010 </w:t>
            </w:r>
            <w:r w:rsidRPr="00CA1998">
              <w:rPr>
                <w:rFonts w:ascii="GHEA Grapalat" w:hAnsi="GHEA Grapalat"/>
              </w:rPr>
              <w:t>թվականի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հոկտեմբերի</w:t>
            </w:r>
            <w:r w:rsidRPr="00CA1998">
              <w:rPr>
                <w:rFonts w:ascii="GHEA Grapalat" w:hAnsi="GHEA Grapalat"/>
                <w:lang w:val="af-ZA"/>
              </w:rPr>
              <w:t xml:space="preserve"> 28-</w:t>
            </w:r>
            <w:r w:rsidRPr="00CA1998">
              <w:rPr>
                <w:rFonts w:ascii="GHEA Grapalat" w:hAnsi="GHEA Grapalat"/>
              </w:rPr>
              <w:t>ի</w:t>
            </w:r>
            <w:r w:rsidRPr="00CA1998">
              <w:rPr>
                <w:rFonts w:ascii="GHEA Grapalat" w:hAnsi="GHEA Grapalat"/>
                <w:lang w:val="af-ZA"/>
              </w:rPr>
              <w:t xml:space="preserve"> N 42  </w:t>
            </w:r>
            <w:r w:rsidRPr="00CA1998">
              <w:rPr>
                <w:rFonts w:ascii="GHEA Grapalat" w:hAnsi="GHEA Grapalat"/>
              </w:rPr>
              <w:t>արձանագրային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որոշումն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ուժը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կորցրած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ճանաչելու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կառավարության</w:t>
            </w:r>
            <w:r w:rsidRPr="00CA1998">
              <w:rPr>
                <w:rFonts w:ascii="GHEA Grapalat" w:hAnsi="GHEA Grapalat"/>
                <w:lang w:val="af-ZA"/>
              </w:rPr>
              <w:t xml:space="preserve"> 2012 </w:t>
            </w:r>
            <w:r w:rsidRPr="00CA1998">
              <w:rPr>
                <w:rFonts w:ascii="GHEA Grapalat" w:hAnsi="GHEA Grapalat"/>
              </w:rPr>
              <w:t>թվականի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ապրիլի</w:t>
            </w:r>
            <w:r w:rsidRPr="00CA1998">
              <w:rPr>
                <w:rFonts w:ascii="GHEA Grapalat" w:hAnsi="GHEA Grapalat"/>
                <w:lang w:val="af-ZA"/>
              </w:rPr>
              <w:t xml:space="preserve"> 5-</w:t>
            </w:r>
            <w:r w:rsidRPr="00CA1998">
              <w:rPr>
                <w:rFonts w:ascii="GHEA Grapalat" w:hAnsi="GHEA Grapalat"/>
              </w:rPr>
              <w:t>ի</w:t>
            </w:r>
            <w:r w:rsidRPr="00CA1998">
              <w:rPr>
                <w:rFonts w:ascii="GHEA Grapalat" w:hAnsi="GHEA Grapalat"/>
                <w:lang w:val="af-ZA"/>
              </w:rPr>
              <w:t xml:space="preserve"> N 13 </w:t>
            </w:r>
            <w:r w:rsidRPr="00CA1998">
              <w:rPr>
                <w:rFonts w:ascii="GHEA Grapalat" w:hAnsi="GHEA Grapalat"/>
              </w:rPr>
              <w:t>արձանագրային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պահանջներին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0DCF81F8" w14:textId="36FF707D" w:rsidR="00FF3320" w:rsidRPr="00CA1998" w:rsidRDefault="00FF332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D6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467DBB2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A698DF8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E784327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6B503C4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95E2C73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CDC2519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4880A73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2059380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AF87867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92FFEA2" w14:textId="77777777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CB9C668" w14:textId="6F64065D" w:rsidR="008F7651" w:rsidRPr="00CA1998" w:rsidRDefault="008F765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B03A2D9" w14:textId="77777777" w:rsidR="008F7651" w:rsidRPr="00CA1998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lastRenderedPageBreak/>
              <w:t xml:space="preserve"> </w:t>
            </w:r>
          </w:p>
          <w:p w14:paraId="1613124D" w14:textId="77777777" w:rsidR="008F7651" w:rsidRPr="00CA1998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4B1D4C8" w14:textId="77777777" w:rsidR="008F7651" w:rsidRPr="00CA1998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653D016D" w14:textId="77777777" w:rsidR="008F7651" w:rsidRPr="00CA1998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06CADB4" w14:textId="77777777" w:rsidR="008F7651" w:rsidRPr="00CA1998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1450BCF1" w14:textId="5E22322E" w:rsidR="008F7651" w:rsidRPr="00971CB6" w:rsidRDefault="00971CB6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971CB6">
              <w:rPr>
                <w:rFonts w:ascii="GHEA Grapalat" w:hAnsi="GHEA Grapalat"/>
                <w:lang w:val="af-ZA"/>
              </w:rPr>
              <w:t xml:space="preserve">1.Նախագծի 5-րդ հոդվածի 1-ին մասում “դեպքերի” բառը փոխարինվել է “դեպքի” բառով: </w:t>
            </w:r>
          </w:p>
          <w:p w14:paraId="786D2843" w14:textId="77777777" w:rsidR="008F7651" w:rsidRPr="00971CB6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EAE93D2" w14:textId="77777777" w:rsidR="008F7651" w:rsidRPr="00971CB6" w:rsidRDefault="008F7651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60EBF716" w14:textId="77777777" w:rsidR="00971CB6" w:rsidRPr="00971CB6" w:rsidRDefault="00971CB6" w:rsidP="00065D1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2DFD7047" w14:textId="5772E1CE" w:rsidR="00FF3320" w:rsidRPr="00CA1998" w:rsidRDefault="00971CB6" w:rsidP="00065D1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971CB6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8F7651" w:rsidRPr="00971CB6">
              <w:rPr>
                <w:rFonts w:ascii="GHEA Grapalat" w:hAnsi="GHEA Grapalat"/>
                <w:sz w:val="20"/>
                <w:szCs w:val="20"/>
                <w:lang w:val="af-ZA"/>
              </w:rPr>
              <w:t>Նախագծի հիմնավորումը լրամշակվել է` ավելացվել է  քննարկվող իրավական կարգավորմանը վերաբերող դրույթ</w:t>
            </w:r>
            <w:r w:rsidR="00065D16" w:rsidRPr="00971CB6">
              <w:rPr>
                <w:rFonts w:ascii="GHEA Grapalat" w:hAnsi="GHEA Grapalat"/>
                <w:sz w:val="20"/>
                <w:szCs w:val="20"/>
                <w:lang w:val="af-ZA"/>
              </w:rPr>
              <w:t xml:space="preserve"> (տես հիմնավորման` “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1.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Ընթացիկ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իրավիճակը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և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իրավական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ակտի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ընդունման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անհրաժեշտությունը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”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բաժնի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4-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րդ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065D16" w:rsidRPr="00971CB6">
              <w:rPr>
                <w:rFonts w:ascii="GHEA Grapalat" w:hAnsi="GHEA Grapalat"/>
                <w:bCs/>
                <w:iCs/>
                <w:sz w:val="20"/>
                <w:szCs w:val="20"/>
              </w:rPr>
              <w:t>կետը</w:t>
            </w:r>
            <w:r w:rsidR="00065D16" w:rsidRPr="00971CB6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  <w:r w:rsidR="008F7651" w:rsidRPr="00971CB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CA1998" w:rsidRPr="00CA1998" w14:paraId="0BF88D0C" w14:textId="77777777" w:rsidTr="00FF3320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CD4E639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0E912247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94D" w14:textId="77777777" w:rsidR="00DB057A" w:rsidRPr="00CA1998" w:rsidRDefault="00DB057A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14:paraId="7BEA3E2E" w14:textId="64605D93" w:rsidR="00FF3320" w:rsidRPr="00CA1998" w:rsidRDefault="00FF3320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4.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6-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4-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ձեռնարկատիրական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նպատակներով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օգտագործվող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զամբյուղում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ներառված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գերազանցել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զամբյուղում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ներառված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բոլոր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մնացորդային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արժեքի</w:t>
            </w:r>
            <w:r w:rsidRPr="00CA1998">
              <w:rPr>
                <w:rFonts w:ascii="GHEA Grapalat" w:hAnsi="GHEA Grapalat"/>
                <w:lang w:val="af-ZA"/>
              </w:rPr>
              <w:t xml:space="preserve"> 10 </w:t>
            </w:r>
            <w:r w:rsidRPr="00CA1998">
              <w:rPr>
                <w:rFonts w:ascii="GHEA Grapalat" w:hAnsi="GHEA Grapalat"/>
              </w:rPr>
              <w:t>տոկոսը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Բնակարանային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ձեռնարկատիրական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նպատակներով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օգտագործվող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զամբյուղում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ներառված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գերազանցել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զամբյուղում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ներառված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բոլոր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մնացորդային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արժեքի</w:t>
            </w:r>
            <w:r w:rsidRPr="00CA1998">
              <w:rPr>
                <w:rFonts w:ascii="GHEA Grapalat" w:hAnsi="GHEA Grapalat"/>
                <w:lang w:val="af-ZA"/>
              </w:rPr>
              <w:t xml:space="preserve"> 20 </w:t>
            </w:r>
            <w:r w:rsidRPr="00CA1998">
              <w:rPr>
                <w:rFonts w:ascii="GHEA Grapalat" w:hAnsi="GHEA Grapalat"/>
              </w:rPr>
              <w:t>տոկոսը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Այսինքն՝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նախագիծը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կախված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օգտագործման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նպատակից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տարբերակված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մոտեցում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ցուցաբերում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Մինչդեռ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պարզ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նպատակահարմարությունը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ինչպես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հանգամանքը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ինչով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պայմանավորված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հենց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տոկոսային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հարաբերության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սահմանումը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Հարկ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նշել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պարզաբանումներ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մեջ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70DCC426" w14:textId="6F611EDF" w:rsidR="00FF3320" w:rsidRPr="00CA1998" w:rsidRDefault="00FF3320" w:rsidP="00566B28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DE9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C9E1FA9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9318332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B82BEC0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1DC9E51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7B29013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84DEC1D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067EBC1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DCC0F12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86B1C13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020EC61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A191929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FE6FE27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BB10A36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05DD525" w14:textId="7B813081" w:rsidR="00FF3320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4E49E97A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48EC417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40566DE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E483B8D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4214F17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CE3E80C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1E49BACD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D9004EC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691978EB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1140CF80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E652C33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0AC6E980" w14:textId="2B052561" w:rsidR="00FF3320" w:rsidRPr="00CA1998" w:rsidRDefault="002050D2" w:rsidP="002241AC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Նախագծի հիմնավորումը լրամշակվել է` ավելացվել է  քննարկվող իրավական կարգավորմանը վերաբերող դրույթ</w:t>
            </w:r>
            <w:r w:rsidR="002241AC" w:rsidRPr="00CA1998">
              <w:rPr>
                <w:rFonts w:ascii="GHEA Grapalat" w:hAnsi="GHEA Grapalat"/>
                <w:lang w:val="af-ZA"/>
              </w:rPr>
              <w:t xml:space="preserve"> (տես հիմնավորման` “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1. </w:t>
            </w:r>
            <w:r w:rsidR="002241AC" w:rsidRPr="00CA1998">
              <w:rPr>
                <w:rFonts w:ascii="GHEA Grapalat" w:hAnsi="GHEA Grapalat"/>
                <w:bCs/>
                <w:iCs/>
              </w:rPr>
              <w:t>Ընթացիկ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իրավիճակը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և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իրավական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ակտի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ընդունման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անհրաժեշտությունը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” </w:t>
            </w:r>
            <w:r w:rsidR="002241AC" w:rsidRPr="00CA1998">
              <w:rPr>
                <w:rFonts w:ascii="GHEA Grapalat" w:hAnsi="GHEA Grapalat"/>
                <w:bCs/>
                <w:iCs/>
              </w:rPr>
              <w:t>բաժնի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5-</w:t>
            </w:r>
            <w:r w:rsidR="002241AC" w:rsidRPr="00CA1998">
              <w:rPr>
                <w:rFonts w:ascii="GHEA Grapalat" w:hAnsi="GHEA Grapalat"/>
                <w:bCs/>
                <w:iCs/>
              </w:rPr>
              <w:t>րդ</w:t>
            </w:r>
            <w:r w:rsidR="002241AC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2241AC" w:rsidRPr="00CA1998">
              <w:rPr>
                <w:rFonts w:ascii="GHEA Grapalat" w:hAnsi="GHEA Grapalat"/>
                <w:bCs/>
                <w:iCs/>
              </w:rPr>
              <w:t>կետը</w:t>
            </w:r>
            <w:r w:rsidR="002241AC" w:rsidRPr="00CA1998">
              <w:rPr>
                <w:rFonts w:ascii="GHEA Grapalat" w:hAnsi="GHEA Grapalat"/>
                <w:lang w:val="af-ZA"/>
              </w:rPr>
              <w:t>)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CA1998" w:rsidRPr="00CA1998" w14:paraId="637D831F" w14:textId="77777777" w:rsidTr="00FF3320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3DB11DDE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4ED3A145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4A5" w14:textId="77777777" w:rsidR="00DB057A" w:rsidRPr="00CA1998" w:rsidRDefault="00DB057A" w:rsidP="00566B28">
            <w:pPr>
              <w:widowControl w:val="0"/>
              <w:spacing w:line="276" w:lineRule="auto"/>
              <w:ind w:hanging="1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14:paraId="3609FA30" w14:textId="20EA625C" w:rsidR="00FF3320" w:rsidRPr="00CA1998" w:rsidRDefault="00FF3320" w:rsidP="00566B28">
            <w:pPr>
              <w:widowControl w:val="0"/>
              <w:spacing w:line="276" w:lineRule="auto"/>
              <w:ind w:hanging="1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5.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7-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5-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կապված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հարաբերությունները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Այսպես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գործող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պարտատոմսերի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դեպքում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երբ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շուկայում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տեղի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ունեցել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Մինչդեռ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պարտադիր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պահանջ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առնվազն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երեք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տարին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անգամ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իսկ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ձեռնարկատիրական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նպատակով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օգտագործվող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դեպքում՝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յուրաքանչյուր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տարին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անգամ՝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անկախ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շուկայում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անկումից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Հարկ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նշել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տարբերություն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փաստը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կապում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հետ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նախագիծը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ցանկացած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երբ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տեղի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ունեցել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ակնկալվում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տվյալ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գինը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էականորեն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կնվազի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Այսինքն՝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նախագիծը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լրացուցիչ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գործիք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համար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ուստի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գտնում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որոշակի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ժամկետում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պարտադիր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վերաբերյալ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նախատեսելը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լրացուցիչ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ոչ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անհրաժեշտ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ծանրաբեռնվածություն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Միաժամանակ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հարկ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անդրադառնալ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հանգամանքին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նախագիծը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կիրառում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անկում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նվազում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ձևակերպումները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որոնք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ըստ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էության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իմաստն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իմաստով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օգտագործվում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նախագծում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Ուստի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գտնում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անհրաժեշտ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հրաժարվել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նվազում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եզրույթից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կիրառել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միայն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անկում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եզրույթը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տեղի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ունեցած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անկման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ակնկալվող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անկման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խոսելիս՝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36-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պահանջների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37CFE6A5" w14:textId="77777777" w:rsidR="00FF3320" w:rsidRPr="00CA1998" w:rsidRDefault="00FF3320" w:rsidP="00566B28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</w:rPr>
              <w:t>Հարկ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համարում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անդրադառնալ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նույն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կարգավորմանը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գնահատողի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կողմից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կենտրոնական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բանկի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նորմատիվ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մեթոդաբանությամբ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կառուցված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ինդեքսի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վրա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ձևակերպմամբ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ստացում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բացի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գնահատողից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անձինք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իրականացնել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կենտրոնական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բանկի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նորմատիվ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ակտերով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մեթոդաբանությամբ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կառուցված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ինդեքսի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վրա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հակասում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որի</w:t>
            </w:r>
            <w:r w:rsidRPr="00CA1998">
              <w:rPr>
                <w:rFonts w:ascii="GHEA Grapalat" w:hAnsi="GHEA Grapalat"/>
                <w:lang w:val="af-ZA"/>
              </w:rPr>
              <w:t xml:space="preserve"> 20-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մասնագիտական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որակավորման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ստուգման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կազմակերպման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կարգը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Նկատի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ունենալով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հանգամանքը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 (</w:t>
            </w:r>
            <w:r w:rsidRPr="00CA1998">
              <w:rPr>
                <w:rFonts w:ascii="GHEA Grapalat" w:hAnsi="GHEA Grapalat"/>
              </w:rPr>
              <w:t>վերագնահատում</w:t>
            </w:r>
            <w:r w:rsidRPr="00CA1998">
              <w:rPr>
                <w:rFonts w:ascii="GHEA Grapalat" w:hAnsi="GHEA Grapalat"/>
                <w:lang w:val="af-ZA"/>
              </w:rPr>
              <w:t xml:space="preserve">) </w:t>
            </w:r>
            <w:r w:rsidRPr="00CA1998">
              <w:rPr>
                <w:rFonts w:ascii="GHEA Grapalat" w:hAnsi="GHEA Grapalat"/>
              </w:rPr>
              <w:t>իրականացնում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որակավորման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վկայական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ստացած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անձինք՝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գտնում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առաջարկվող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ունի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լրամշակման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կարիք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27DEA2D1" w14:textId="46BC049E" w:rsidR="00FF3320" w:rsidRPr="00CA1998" w:rsidRDefault="00FF3320" w:rsidP="00566B28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468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578D145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7011357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F4FD131" w14:textId="77777777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79DE14D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71B57AB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EFEF50A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60B6A21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EF36A9A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B4D5E1A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21FE236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C36187E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25682BF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BE2C595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5C2CA0F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CCE6EA0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676CD69" w14:textId="77777777" w:rsidR="00133118" w:rsidRPr="00CA1998" w:rsidRDefault="00133118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3190218" w14:textId="0418FD73" w:rsidR="002050D2" w:rsidRPr="00CA1998" w:rsidRDefault="002050D2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մասնակի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1722837" w14:textId="1B492923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1. Նախագծում կիրառվող “նվազում” տերմինը փոխարինվել է “անկում” տերմինով:</w:t>
            </w:r>
          </w:p>
          <w:p w14:paraId="14560756" w14:textId="43642384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2F141337" w14:textId="1BB3FE32" w:rsidR="00FF3320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2. Ապահովման միջոց հանդիսացող անշարժ գույքի վերագնահատմանը վերաբերող` “Ապահովված հիփոթեքային պարտատոմսերի մասին” գործող ՀՀ օրենքի կարգավորումները թերի են, քանի որ չեն </w:t>
            </w:r>
            <w:r w:rsidR="001571E3" w:rsidRPr="00CA1998">
              <w:rPr>
                <w:rFonts w:ascii="GHEA Grapalat" w:hAnsi="GHEA Grapalat"/>
                <w:lang w:val="hy-AM"/>
              </w:rPr>
              <w:t xml:space="preserve">ապահովում ներդրողների շահերի պաշտպանության անհրաժեշտ մակարդակ: Նախ, հաշվի առնելով, որ </w:t>
            </w:r>
            <w:r w:rsidR="001571E3" w:rsidRPr="00CA1998">
              <w:rPr>
                <w:rFonts w:ascii="GHEA Grapalat" w:hAnsi="GHEA Grapalat"/>
                <w:lang w:val="hy-AM"/>
              </w:rPr>
              <w:lastRenderedPageBreak/>
              <w:t xml:space="preserve">ձեռնարկատիրական գույքը ավելի ռիսկային է, քան բնակարանայինը՝ ձեռնարկատիրական գույքի վերգնահատման պարբերականությունն ավելի մեծ է: </w:t>
            </w:r>
            <w:r w:rsidR="00B52319" w:rsidRPr="00CA1998">
              <w:rPr>
                <w:rFonts w:ascii="Arial Unicode" w:hAnsi="Arial Unicode"/>
                <w:lang w:val="en-US"/>
              </w:rPr>
              <w:t>Պ</w:t>
            </w:r>
            <w:r w:rsidR="001571E3" w:rsidRPr="00CA1998">
              <w:rPr>
                <w:rFonts w:ascii="GHEA Grapalat" w:hAnsi="GHEA Grapalat"/>
                <w:lang w:val="hy-AM"/>
              </w:rPr>
              <w:t>արբերաբար վերագնահատման անհրաժեշտությունը պայմանավորված է ՀՊ-ի համար բավարար ապահովություն ունելու պահանջով: Սակայն պարբերական վերագնահտումները չեն բացառում այն դեպքերը, երբ շուկայում տ</w:t>
            </w:r>
            <w:r w:rsidR="004F093C" w:rsidRPr="00CA1998">
              <w:rPr>
                <w:rFonts w:ascii="GHEA Grapalat" w:hAnsi="GHEA Grapalat"/>
                <w:lang w:val="hy-AM"/>
              </w:rPr>
              <w:t xml:space="preserve">եղի է ունենում գնի էական անկում, որի արդյունքում ապահովության արժեքը կարող է կտրուկ նվազել: </w:t>
            </w:r>
            <w:r w:rsidR="00B52319" w:rsidRPr="00CA1998">
              <w:rPr>
                <w:rFonts w:ascii="GHEA Grapalat" w:hAnsi="GHEA Grapalat"/>
                <w:lang w:val="en-US"/>
              </w:rPr>
              <w:t>Ա</w:t>
            </w:r>
            <w:r w:rsidR="004F093C" w:rsidRPr="00CA1998">
              <w:rPr>
                <w:rFonts w:ascii="GHEA Grapalat" w:hAnsi="GHEA Grapalat"/>
                <w:lang w:val="hy-AM"/>
              </w:rPr>
              <w:t>յս պատճառով օրենքով սահմանվում են և պարբերական և գների էական անկման դեպքում վերգնահտման պահանջ:</w:t>
            </w:r>
          </w:p>
          <w:p w14:paraId="2898A4D3" w14:textId="77777777" w:rsidR="002050D2" w:rsidRPr="00CA1998" w:rsidRDefault="002050D2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Նման իրավիճակում ապահովված պարտատոմսերում ներդրողների շահերը </w:t>
            </w:r>
            <w:r w:rsidR="00D432EF" w:rsidRPr="00CA1998">
              <w:rPr>
                <w:rFonts w:ascii="GHEA Grapalat" w:hAnsi="GHEA Grapalat"/>
                <w:lang w:val="af-ZA"/>
              </w:rPr>
              <w:t>կվտանգվ</w:t>
            </w:r>
            <w:r w:rsidRPr="00CA1998">
              <w:rPr>
                <w:rFonts w:ascii="GHEA Grapalat" w:hAnsi="GHEA Grapalat"/>
                <w:lang w:val="af-ZA"/>
              </w:rPr>
              <w:t xml:space="preserve">են, իսկ ապահովված պարտատոմսերի նկատմամբ </w:t>
            </w:r>
            <w:r w:rsidRPr="00CA1998">
              <w:rPr>
                <w:rFonts w:ascii="GHEA Grapalat" w:hAnsi="GHEA Grapalat"/>
                <w:lang w:val="af-ZA"/>
              </w:rPr>
              <w:lastRenderedPageBreak/>
              <w:t xml:space="preserve">պոտենցիալ ներդրողների վստահությունը` </w:t>
            </w:r>
            <w:r w:rsidR="00D432EF" w:rsidRPr="00CA1998">
              <w:rPr>
                <w:rFonts w:ascii="GHEA Grapalat" w:hAnsi="GHEA Grapalat"/>
                <w:lang w:val="af-ZA"/>
              </w:rPr>
              <w:t>նվազի, ինչը լուրջ խոչընդոտ կհանդիսանա ՀՀ-ում ապահովված պարտատոմսերի շուկայի կայացման և զարգացման համար:</w:t>
            </w:r>
          </w:p>
          <w:p w14:paraId="2ACFEE5C" w14:textId="77777777" w:rsidR="00D432EF" w:rsidRPr="00CA1998" w:rsidRDefault="00D432EF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Քանի որ Նախագծի նպատակներից է` գործող իրավական կարգավորումների թերությունները շտկելով նպատել ապահովված պարտատոմսերի շուկայի զարգացմանը, ապա Նախագծով ամրագրվում է վերագնահատում իրականացնելու լրացուցիչ պահանջ, որով կշտկվի գործող իրավական կարգավորման վերը նշված թերությունը և դրանով պայմանավորված բացասական հետևանքը ապահովված պարտատոմսերի շուկայի համար:</w:t>
            </w:r>
          </w:p>
          <w:p w14:paraId="73B35E69" w14:textId="2DC4E451" w:rsidR="00843D23" w:rsidRPr="00CA1998" w:rsidRDefault="00D432EF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Նշենք նաև, որ վերագնահատման հետ կապված Նախագծի կարգավորումների հիմքում դրված է միջազգային լավագույն փորձը, մասնավորապես` այս ոլորտում առաջատար </w:t>
            </w:r>
            <w:r w:rsidRPr="00CA1998">
              <w:rPr>
                <w:rFonts w:ascii="GHEA Grapalat" w:hAnsi="GHEA Grapalat"/>
                <w:lang w:val="af-ZA"/>
              </w:rPr>
              <w:lastRenderedPageBreak/>
              <w:t>համարվող երկրներից մեկի` Գերմանիայի Դաշնության փորձը:</w:t>
            </w:r>
          </w:p>
          <w:p w14:paraId="7577B131" w14:textId="0BD5A6BB" w:rsidR="00843D23" w:rsidRPr="00CA1998" w:rsidRDefault="00843D23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47BCEA41" w14:textId="77777777" w:rsidR="00FC17F8" w:rsidRPr="00CA1998" w:rsidRDefault="00843D23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3. “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>”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ՀՀ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օրենքի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առկայությունը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չի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կարող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որևէ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կերպ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սահմանափակել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և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չի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սահմանափակում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անձանց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իրավունքը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` </w:t>
            </w:r>
            <w:r w:rsidR="00FC17F8" w:rsidRPr="00CA1998">
              <w:rPr>
                <w:rFonts w:ascii="GHEA Grapalat" w:hAnsi="GHEA Grapalat"/>
              </w:rPr>
              <w:t>իրենց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նպատակների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համար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օգտագործել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անշարժ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գույքի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` </w:t>
            </w:r>
            <w:r w:rsidR="00FC17F8" w:rsidRPr="00CA1998">
              <w:rPr>
                <w:rFonts w:ascii="GHEA Grapalat" w:hAnsi="GHEA Grapalat"/>
              </w:rPr>
              <w:t>իրենց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հայեցողությամբ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կամ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որոշակի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այլ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կանոններով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(</w:t>
            </w:r>
            <w:r w:rsidR="00FC17F8" w:rsidRPr="00CA1998">
              <w:rPr>
                <w:rFonts w:ascii="GHEA Grapalat" w:hAnsi="GHEA Grapalat"/>
              </w:rPr>
              <w:t>Անշարժ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գույքի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գնահատման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գործունեության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մասին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” </w:t>
            </w:r>
            <w:r w:rsidR="00FC17F8" w:rsidRPr="00CA1998">
              <w:rPr>
                <w:rFonts w:ascii="GHEA Grapalat" w:hAnsi="GHEA Grapalat"/>
              </w:rPr>
              <w:t>ՀՀ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օրենքով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ամրագրված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կանոններից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տարբերվող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կանոններով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) </w:t>
            </w:r>
            <w:r w:rsidR="00FC17F8" w:rsidRPr="00CA1998">
              <w:rPr>
                <w:rFonts w:ascii="GHEA Grapalat" w:hAnsi="GHEA Grapalat"/>
              </w:rPr>
              <w:t>որոշված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արժեքը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, </w:t>
            </w:r>
            <w:r w:rsidR="00FC17F8" w:rsidRPr="00CA1998">
              <w:rPr>
                <w:rFonts w:ascii="GHEA Grapalat" w:hAnsi="GHEA Grapalat"/>
              </w:rPr>
              <w:t>եթե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անշարժ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գույքի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արժեքի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գնահատումը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` </w:t>
            </w:r>
            <w:r w:rsidR="00FC17F8" w:rsidRPr="00CA1998">
              <w:rPr>
                <w:rFonts w:ascii="GHEA Grapalat" w:hAnsi="GHEA Grapalat"/>
              </w:rPr>
              <w:t>այդ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օրենքի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ուժով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պարտադիր</w:t>
            </w:r>
            <w:r w:rsidR="00FC17F8" w:rsidRPr="00CA1998">
              <w:rPr>
                <w:rFonts w:ascii="GHEA Grapalat" w:hAnsi="GHEA Grapalat"/>
                <w:lang w:val="af-ZA"/>
              </w:rPr>
              <w:t xml:space="preserve"> </w:t>
            </w:r>
            <w:r w:rsidR="00FC17F8" w:rsidRPr="00CA1998">
              <w:rPr>
                <w:rFonts w:ascii="GHEA Grapalat" w:hAnsi="GHEA Grapalat"/>
              </w:rPr>
              <w:t>չէ</w:t>
            </w:r>
            <w:r w:rsidR="00FC17F8" w:rsidRPr="00CA1998">
              <w:rPr>
                <w:rFonts w:ascii="GHEA Grapalat" w:hAnsi="GHEA Grapalat"/>
                <w:lang w:val="af-ZA"/>
              </w:rPr>
              <w:t>:</w:t>
            </w:r>
          </w:p>
          <w:p w14:paraId="00FACEA1" w14:textId="77777777" w:rsidR="00FC17F8" w:rsidRPr="00CA1998" w:rsidRDefault="00FC17F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“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”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8-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հոդվածում</w:t>
            </w:r>
            <w:r w:rsidRPr="00CA1998">
              <w:rPr>
                <w:rFonts w:ascii="GHEA Grapalat" w:hAnsi="GHEA Grapalat"/>
                <w:lang w:val="af-ZA"/>
              </w:rPr>
              <w:t xml:space="preserve"> (</w:t>
            </w:r>
            <w:r w:rsidRPr="00CA1998">
              <w:rPr>
                <w:rFonts w:ascii="GHEA Grapalat" w:hAnsi="GHEA Grapalat"/>
              </w:rPr>
              <w:t>պարտադիր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դեպքեր</w:t>
            </w:r>
            <w:r w:rsidRPr="00CA1998">
              <w:rPr>
                <w:rFonts w:ascii="GHEA Grapalat" w:hAnsi="GHEA Grapalat"/>
                <w:lang w:val="af-ZA"/>
              </w:rPr>
              <w:t xml:space="preserve">)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հանդիսացող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պարտադիր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գնահատվի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կարգով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38EA8C2B" w14:textId="77777777" w:rsidR="00133118" w:rsidRPr="00CA1998" w:rsidRDefault="0013311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</w:t>
            </w:r>
            <w:r w:rsidRPr="00CA1998">
              <w:rPr>
                <w:rFonts w:ascii="GHEA Grapalat" w:hAnsi="GHEA Grapalat"/>
              </w:rPr>
              <w:t>Հետևաբար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սահմանվել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որպես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հանդիսացող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ընդունվել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ցանկացած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եղանակով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</w:t>
            </w:r>
            <w:r w:rsidRPr="00CA1998">
              <w:rPr>
                <w:rFonts w:ascii="GHEA Grapalat" w:hAnsi="GHEA Grapalat"/>
                <w:lang w:val="af-ZA"/>
              </w:rPr>
              <w:t xml:space="preserve"> (</w:t>
            </w:r>
            <w:r w:rsidRPr="00CA1998">
              <w:rPr>
                <w:rFonts w:ascii="GHEA Grapalat" w:hAnsi="GHEA Grapalat"/>
              </w:rPr>
              <w:t>օրինակ</w:t>
            </w:r>
            <w:r w:rsidRPr="00CA1998">
              <w:rPr>
                <w:rFonts w:ascii="GHEA Grapalat" w:hAnsi="GHEA Grapalat"/>
                <w:lang w:val="af-ZA"/>
              </w:rPr>
              <w:t xml:space="preserve">`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ձեռբերման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`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գրավի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դիմաց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տրամադրված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վարկի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այլն</w:t>
            </w:r>
            <w:r w:rsidRPr="00CA1998">
              <w:rPr>
                <w:rFonts w:ascii="GHEA Grapalat" w:hAnsi="GHEA Grapalat"/>
                <w:lang w:val="af-ZA"/>
              </w:rPr>
              <w:t xml:space="preserve">): </w:t>
            </w:r>
          </w:p>
          <w:p w14:paraId="77ED5B49" w14:textId="77777777" w:rsidR="00133118" w:rsidRPr="00CA1998" w:rsidRDefault="0013311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</w:t>
            </w:r>
            <w:r w:rsidRPr="00CA1998">
              <w:rPr>
                <w:rFonts w:ascii="GHEA Grapalat" w:hAnsi="GHEA Grapalat"/>
              </w:rPr>
              <w:t>Ուստի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հանդիսացող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վերագնահատումը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իրականացվում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“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”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ինդեքսի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վրա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09C6A1F5" w14:textId="77777777" w:rsidR="00133118" w:rsidRPr="00CA1998" w:rsidRDefault="0013311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 </w:t>
            </w:r>
            <w:r w:rsidRPr="00CA1998">
              <w:rPr>
                <w:rFonts w:ascii="GHEA Grapalat" w:hAnsi="GHEA Grapalat"/>
              </w:rPr>
              <w:t>Վերջին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տարբերակի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վերաբերյալ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նշենք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նաև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ինդեքսենրի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հիմքում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>` “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”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որոշված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lastRenderedPageBreak/>
              <w:t>արժեքը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օտարման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գործարքում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նշված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գինը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70C7C45C" w14:textId="4AB04082" w:rsidR="00133118" w:rsidRPr="00CA1998" w:rsidRDefault="0013311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</w:t>
            </w:r>
            <w:r w:rsidRPr="00CA1998">
              <w:rPr>
                <w:rFonts w:ascii="GHEA Grapalat" w:hAnsi="GHEA Grapalat"/>
              </w:rPr>
              <w:t>Հաշվի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առնելով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նշված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հիմնավորումները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կարծում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ենք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հանդիսացող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վերագնահատմանը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վերաբերող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դրույթները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հակասում</w:t>
            </w:r>
            <w:r w:rsidRPr="00CA1998">
              <w:rPr>
                <w:rFonts w:ascii="GHEA Grapalat" w:hAnsi="GHEA Grapalat"/>
                <w:lang w:val="af-ZA"/>
              </w:rPr>
              <w:t xml:space="preserve"> “</w:t>
            </w:r>
            <w:r w:rsidRPr="00CA1998">
              <w:rPr>
                <w:rFonts w:ascii="GHEA Grapalat" w:hAnsi="GHEA Grapalat"/>
              </w:rPr>
              <w:t>Անշարժ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գույքի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գնահատման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գործունեության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”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կարգավորումներին</w:t>
            </w:r>
            <w:r w:rsidRPr="00CA1998">
              <w:rPr>
                <w:rFonts w:ascii="GHEA Grapalat" w:hAnsi="GHEA Grapalat"/>
                <w:lang w:val="af-ZA"/>
              </w:rPr>
              <w:t xml:space="preserve">:     </w:t>
            </w:r>
          </w:p>
          <w:p w14:paraId="1E6A0610" w14:textId="110E4D16" w:rsidR="00D432EF" w:rsidRPr="00CA1998" w:rsidRDefault="00FC17F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   </w:t>
            </w:r>
          </w:p>
        </w:tc>
      </w:tr>
      <w:tr w:rsidR="00CA1998" w:rsidRPr="00CA1998" w14:paraId="1BC09F79" w14:textId="77777777" w:rsidTr="00FF3320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3FB9FCE5" w14:textId="243FEA8E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5D27C20B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591" w14:textId="77777777" w:rsidR="00DB057A" w:rsidRPr="00CA1998" w:rsidRDefault="00DB057A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14:paraId="0B5C54B6" w14:textId="12B35C10" w:rsidR="00FF3320" w:rsidRPr="00CA1998" w:rsidRDefault="00FF3320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6.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9-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հոդվածի</w:t>
            </w:r>
            <w:r w:rsidRPr="00CA1998">
              <w:rPr>
                <w:rFonts w:ascii="GHEA Grapalat" w:hAnsi="GHEA Grapalat"/>
                <w:lang w:val="af-ZA"/>
              </w:rPr>
              <w:t xml:space="preserve"> 1-</w:t>
            </w:r>
            <w:r w:rsidRPr="00CA1998">
              <w:rPr>
                <w:rFonts w:ascii="GHEA Grapalat" w:hAnsi="GHEA Grapalat"/>
              </w:rPr>
              <w:t>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</w:t>
            </w:r>
            <w:r w:rsidRPr="00CA1998">
              <w:rPr>
                <w:rFonts w:ascii="GHEA Grapalat" w:hAnsi="GHEA Grapalat"/>
                <w:lang w:val="af-ZA"/>
              </w:rPr>
              <w:t xml:space="preserve"> 3-</w:t>
            </w:r>
            <w:r w:rsidRPr="00CA1998">
              <w:rPr>
                <w:rFonts w:ascii="GHEA Grapalat" w:hAnsi="GHEA Grapalat"/>
              </w:rPr>
              <w:t>րդ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կետի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համաձայն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միջոց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հանդիսացող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ակտիվների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զուտ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ներկա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պետք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առնվազն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տոկոսով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գերազանցի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հիփոթեքային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պարտատոմսերի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բոլոր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պարտավորությունների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զուտ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ներկա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արժեքի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գումարը՝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կենտրոնական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բանկի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նորմատիվ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: </w:t>
            </w:r>
            <w:r w:rsidRPr="00CA1998">
              <w:rPr>
                <w:rFonts w:ascii="GHEA Grapalat" w:hAnsi="GHEA Grapalat"/>
              </w:rPr>
              <w:t>Նախ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առաջ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պարզ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թե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ինչու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գործող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կարգավորմամբ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հինգ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տոկոսը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փոխարինվել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մեկ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տոկոսով</w:t>
            </w:r>
            <w:r w:rsidRPr="00CA1998">
              <w:rPr>
                <w:rFonts w:ascii="GHEA Grapalat" w:hAnsi="GHEA Grapalat"/>
                <w:lang w:val="af-ZA"/>
              </w:rPr>
              <w:t xml:space="preserve">. </w:t>
            </w:r>
            <w:r w:rsidRPr="00CA1998">
              <w:rPr>
                <w:rFonts w:ascii="GHEA Grapalat" w:hAnsi="GHEA Grapalat"/>
              </w:rPr>
              <w:t>Բացի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այդ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պարզ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չէ՝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Օրենքի՝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յուրաքանչյուր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կարգավորումը</w:t>
            </w:r>
            <w:r w:rsidRPr="00CA1998">
              <w:rPr>
                <w:rFonts w:ascii="GHEA Grapalat" w:hAnsi="GHEA Grapalat"/>
                <w:lang w:val="af-ZA"/>
              </w:rPr>
              <w:t xml:space="preserve"> &lt;</w:t>
            </w:r>
            <w:r w:rsidRPr="00CA1998">
              <w:rPr>
                <w:rFonts w:ascii="GHEA Grapalat" w:hAnsi="GHEA Grapalat"/>
              </w:rPr>
              <w:t>կենտրոնական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բանկի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նորմատիվ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իրավական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ակտով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սահմանված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դրությամբ</w:t>
            </w:r>
            <w:r w:rsidRPr="00CA1998">
              <w:rPr>
                <w:rFonts w:ascii="GHEA Grapalat" w:hAnsi="GHEA Grapalat"/>
                <w:lang w:val="af-ZA"/>
              </w:rPr>
              <w:t xml:space="preserve">&gt; </w:t>
            </w:r>
            <w:r w:rsidRPr="00CA1998">
              <w:rPr>
                <w:rFonts w:ascii="GHEA Grapalat" w:hAnsi="GHEA Grapalat"/>
              </w:rPr>
              <w:t>փոխարինելու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հիմնավորվածությունը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քանի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որ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նախագծի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հիմնավորման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մեջ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ևս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ներկայացված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չեն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տվյալներ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  <w:p w14:paraId="594C0C91" w14:textId="585B3958" w:rsidR="00FF3320" w:rsidRPr="00CA1998" w:rsidRDefault="00FF3320" w:rsidP="00566B28">
            <w:pPr>
              <w:widowControl w:val="0"/>
              <w:spacing w:line="276" w:lineRule="auto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2A7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7B7F808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7B31769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09D4EF0" w14:textId="77777777" w:rsidR="00224C87" w:rsidRPr="00CA1998" w:rsidRDefault="00224C87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DE9F74B" w14:textId="77777777" w:rsidR="00224C87" w:rsidRPr="00CA1998" w:rsidRDefault="00224C87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C95DC13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C28C94E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92AE17E" w14:textId="77777777" w:rsidR="006A4BF4" w:rsidRPr="00CA1998" w:rsidRDefault="006A4BF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E71C087" w14:textId="77777777" w:rsidR="006A4BF4" w:rsidRPr="00CA1998" w:rsidRDefault="006A4BF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3BF6750" w14:textId="37CEB909" w:rsidR="004600E5" w:rsidRPr="00CA1998" w:rsidRDefault="00224C87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մասնակի</w:t>
            </w:r>
          </w:p>
          <w:p w14:paraId="40EB47D2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D2F2260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58AF815" w14:textId="77777777" w:rsidR="004600E5" w:rsidRPr="00CA1998" w:rsidRDefault="004600E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6FF2A15D" w14:textId="4CB5FB7B" w:rsidR="00FF3320" w:rsidRPr="00CA1998" w:rsidRDefault="00224C87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1.Նախագծի հիմնավորումը լրամշակվել է` հիմնավորվել է “յուրաքանչյուր պահի դրությամբ” արտահայտությունը “կենտրոնական բանկի նորմատիվ իրավական ակտով սահմանված պահի դրությամբ” արտահայտությամբ փոխարինելու անհրաժեշտությունը</w:t>
            </w:r>
            <w:r w:rsidR="00B11B38" w:rsidRPr="00CA1998">
              <w:rPr>
                <w:rFonts w:ascii="GHEA Grapalat" w:hAnsi="GHEA Grapalat"/>
                <w:lang w:val="af-ZA"/>
              </w:rPr>
              <w:t xml:space="preserve"> (տես հիմնավորման` “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1. </w:t>
            </w:r>
            <w:r w:rsidR="00B11B38" w:rsidRPr="00CA1998">
              <w:rPr>
                <w:rFonts w:ascii="GHEA Grapalat" w:hAnsi="GHEA Grapalat"/>
                <w:bCs/>
                <w:iCs/>
              </w:rPr>
              <w:t>Ընթացիկ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իրավիճակը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և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իրավական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ակտի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ընդունման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անհրաժեշտությունը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” </w:t>
            </w:r>
            <w:r w:rsidR="00B11B38" w:rsidRPr="00CA1998">
              <w:rPr>
                <w:rFonts w:ascii="GHEA Grapalat" w:hAnsi="GHEA Grapalat"/>
                <w:bCs/>
                <w:iCs/>
              </w:rPr>
              <w:t>բաժնի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6-</w:t>
            </w:r>
            <w:r w:rsidR="00B11B38" w:rsidRPr="00CA1998">
              <w:rPr>
                <w:rFonts w:ascii="GHEA Grapalat" w:hAnsi="GHEA Grapalat"/>
                <w:bCs/>
                <w:iCs/>
              </w:rPr>
              <w:t>րդ</w:t>
            </w:r>
            <w:r w:rsidR="00B11B38" w:rsidRPr="00CA199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="00B11B38" w:rsidRPr="00CA1998">
              <w:rPr>
                <w:rFonts w:ascii="GHEA Grapalat" w:hAnsi="GHEA Grapalat"/>
                <w:bCs/>
                <w:iCs/>
              </w:rPr>
              <w:t>կետը</w:t>
            </w:r>
            <w:r w:rsidR="00B11B38" w:rsidRPr="00CA1998">
              <w:rPr>
                <w:rFonts w:ascii="GHEA Grapalat" w:hAnsi="GHEA Grapalat"/>
                <w:lang w:val="af-ZA"/>
              </w:rPr>
              <w:t>):</w:t>
            </w:r>
          </w:p>
          <w:p w14:paraId="17A2B7C6" w14:textId="748F8662" w:rsidR="00224C87" w:rsidRPr="00CA1998" w:rsidRDefault="00224C87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2.</w:t>
            </w:r>
            <w:r w:rsidR="004B0D69" w:rsidRPr="00CA1998">
              <w:rPr>
                <w:rFonts w:ascii="GHEA Grapalat" w:hAnsi="GHEA Grapalat"/>
                <w:lang w:val="af-ZA"/>
              </w:rPr>
              <w:t xml:space="preserve">Միջազգային փորձը ցույց է </w:t>
            </w:r>
            <w:r w:rsidR="004B0D69" w:rsidRPr="00CA1998">
              <w:rPr>
                <w:rFonts w:ascii="GHEA Grapalat" w:hAnsi="GHEA Grapalat"/>
                <w:lang w:val="af-ZA"/>
              </w:rPr>
              <w:lastRenderedPageBreak/>
              <w:t xml:space="preserve">տալիս, որ </w:t>
            </w:r>
            <w:r w:rsidR="001571E3" w:rsidRPr="00CA1998">
              <w:rPr>
                <w:rFonts w:ascii="GHEA Grapalat" w:hAnsi="GHEA Grapalat"/>
                <w:lang w:val="hy-AM"/>
              </w:rPr>
              <w:t xml:space="preserve">զուտ ներկա արժեքի իմաստով </w:t>
            </w:r>
            <w:r w:rsidR="004B0D69" w:rsidRPr="00CA1998">
              <w:rPr>
                <w:rFonts w:ascii="GHEA Grapalat" w:hAnsi="GHEA Grapalat"/>
                <w:lang w:val="af-ZA"/>
              </w:rPr>
              <w:t>5 տոկոսի չափով լրացուցիչ ակտիվ ունենալու պահանջը չափազանց խիստ է:</w:t>
            </w:r>
          </w:p>
          <w:p w14:paraId="12D17D72" w14:textId="730D3BFE" w:rsidR="00566B28" w:rsidRPr="00CA1998" w:rsidRDefault="009B689E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</w:t>
            </w:r>
            <w:r w:rsidR="00566B28" w:rsidRPr="00CA1998">
              <w:rPr>
                <w:rFonts w:ascii="GHEA Grapalat" w:hAnsi="GHEA Grapalat"/>
                <w:lang w:val="af-ZA"/>
              </w:rPr>
              <w:t>Եվրոպական երկրներում լրացուցիչ ակտիվների տոկոսի չափը տատանվում է 0-ից 3 տոկոս միջ</w:t>
            </w:r>
            <w:r w:rsidR="001571E3" w:rsidRPr="00CA1998">
              <w:rPr>
                <w:rFonts w:ascii="GHEA Grapalat" w:hAnsi="GHEA Grapalat"/>
                <w:lang w:val="hy-AM"/>
              </w:rPr>
              <w:t>ա</w:t>
            </w:r>
            <w:r w:rsidR="00566B28" w:rsidRPr="00CA1998">
              <w:rPr>
                <w:rFonts w:ascii="GHEA Grapalat" w:hAnsi="GHEA Grapalat"/>
                <w:lang w:val="af-ZA"/>
              </w:rPr>
              <w:t>կայքում: Օրինակ, Գերմանիայում պահանջվում է ունենալ 2 տոկոսի չափով լրացուցիչ ակտիվ</w:t>
            </w:r>
            <w:r w:rsidR="001571E3" w:rsidRPr="00CA1998">
              <w:rPr>
                <w:rFonts w:ascii="GHEA Grapalat" w:hAnsi="GHEA Grapalat"/>
                <w:lang w:val="hy-AM"/>
              </w:rPr>
              <w:t>, իսկ Ֆրանսիայում, Բելգիայում և մի շարք այլ երկրներում այն 0</w:t>
            </w:r>
            <w:r w:rsidR="001571E3" w:rsidRPr="00CA1998">
              <w:rPr>
                <w:rFonts w:ascii="GHEA Grapalat" w:hAnsi="GHEA Grapalat"/>
                <w:lang w:val="af-ZA"/>
              </w:rPr>
              <w:t xml:space="preserve">% </w:t>
            </w:r>
            <w:r w:rsidR="001571E3" w:rsidRPr="00CA1998">
              <w:rPr>
                <w:rFonts w:ascii="GHEA Grapalat" w:hAnsi="GHEA Grapalat"/>
                <w:lang w:val="hy-AM"/>
              </w:rPr>
              <w:t>է</w:t>
            </w:r>
            <w:r w:rsidR="00566B28" w:rsidRPr="00CA1998">
              <w:rPr>
                <w:rFonts w:ascii="GHEA Grapalat" w:hAnsi="GHEA Grapalat"/>
                <w:lang w:val="af-ZA"/>
              </w:rPr>
              <w:t>:</w:t>
            </w:r>
          </w:p>
          <w:p w14:paraId="5FD15609" w14:textId="632B8905" w:rsidR="00566B28" w:rsidRPr="00CA1998" w:rsidRDefault="00566B2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 xml:space="preserve">     Հաշվի առնելով միջազգային փորձը, Նախագծով սահմանվել է Եվրոպական երկրներում կիրառվող տոկոսների միջինացված չափը, որը կազմում է 1 տոկոս:</w:t>
            </w:r>
          </w:p>
          <w:p w14:paraId="4F5C1C90" w14:textId="7CA05119" w:rsidR="00566B28" w:rsidRPr="00CA1998" w:rsidRDefault="00566B28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F3320" w:rsidRPr="00CA1998" w14:paraId="09E73943" w14:textId="77777777" w:rsidTr="007A2BCE">
        <w:trPr>
          <w:trHeight w:val="876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649" w14:textId="7CDE70F5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7CD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D9C" w14:textId="77777777" w:rsidR="00DB057A" w:rsidRPr="00CA1998" w:rsidRDefault="00DB057A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14:paraId="2C873FAD" w14:textId="00B32DF5" w:rsidR="00FF3320" w:rsidRPr="00CA1998" w:rsidRDefault="00FF3320" w:rsidP="00566B2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7. «</w:t>
            </w:r>
            <w:r w:rsidRPr="00CA1998">
              <w:rPr>
                <w:rFonts w:ascii="GHEA Grapalat" w:hAnsi="GHEA Grapalat"/>
              </w:rPr>
              <w:t>Բանկերի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վարկային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կազմակերպությունների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ներդրումային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ընկերությունների</w:t>
            </w:r>
            <w:r w:rsidRPr="00CA1998">
              <w:rPr>
                <w:rFonts w:ascii="GHEA Grapalat" w:hAnsi="GHEA Grapalat"/>
                <w:lang w:val="af-ZA"/>
              </w:rPr>
              <w:t xml:space="preserve">, </w:t>
            </w:r>
            <w:r w:rsidRPr="00CA1998">
              <w:rPr>
                <w:rFonts w:ascii="GHEA Grapalat" w:hAnsi="GHEA Grapalat"/>
              </w:rPr>
              <w:t>ներդրումային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ֆոնդի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կառավարիչների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և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ապահովագրական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ընկերությունների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սնանկության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» </w:t>
            </w:r>
            <w:r w:rsidRPr="00CA1998">
              <w:rPr>
                <w:rFonts w:ascii="GHEA Grapalat" w:hAnsi="GHEA Grapalat"/>
              </w:rPr>
              <w:t>Հայաստանի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Հանրապետության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փոփոխություն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կատարելու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մասին</w:t>
            </w:r>
            <w:r w:rsidRPr="00CA1998">
              <w:rPr>
                <w:rFonts w:ascii="GHEA Grapalat" w:hAnsi="GHEA Grapalat"/>
                <w:lang w:val="af-ZA"/>
              </w:rPr>
              <w:t xml:space="preserve">»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օրենքի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լրամշակված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նախագիծը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համապատասխանում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է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ՀՀ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օրենսդրության</w:t>
            </w:r>
            <w:r w:rsidRPr="00CA1998">
              <w:rPr>
                <w:rFonts w:ascii="GHEA Grapalat" w:hAnsi="GHEA Grapalat"/>
                <w:lang w:val="af-ZA"/>
              </w:rPr>
              <w:t xml:space="preserve"> </w:t>
            </w:r>
            <w:r w:rsidRPr="00CA1998">
              <w:rPr>
                <w:rFonts w:ascii="GHEA Grapalat" w:hAnsi="GHEA Grapalat"/>
              </w:rPr>
              <w:t>պահանջներին</w:t>
            </w:r>
            <w:r w:rsidRPr="00CA199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3DC" w14:textId="77777777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0B917B" w14:textId="77777777" w:rsidR="00FF3320" w:rsidRPr="00CA1998" w:rsidRDefault="00FF3320" w:rsidP="00AF2A5D">
            <w:pPr>
              <w:spacing w:line="276" w:lineRule="auto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18838D2" w14:textId="77777777" w:rsidR="00F335BA" w:rsidRPr="00CA1998" w:rsidRDefault="00F335BA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BA29F45" w14:textId="32ED4B69" w:rsidR="00FF3320" w:rsidRPr="00CA1998" w:rsidRDefault="00FF3320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8C50897" w14:textId="77777777" w:rsidR="00FF3320" w:rsidRPr="00CA1998" w:rsidRDefault="00FF3320" w:rsidP="00566B2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14:paraId="5DA0D091" w14:textId="3256EA8F" w:rsidR="00414DD6" w:rsidRPr="00CA1998" w:rsidRDefault="00414DD6" w:rsidP="00566B28">
      <w:pPr>
        <w:spacing w:line="276" w:lineRule="auto"/>
        <w:jc w:val="both"/>
        <w:rPr>
          <w:rFonts w:ascii="GHEA Grapalat" w:hAnsi="GHEA Grapalat" w:cs="GHEA Grapalat"/>
          <w:bCs/>
          <w:lang w:val="ru-RU"/>
        </w:rPr>
      </w:pPr>
    </w:p>
    <w:sectPr w:rsidR="00414DD6" w:rsidRPr="00CA1998" w:rsidSect="009C37A3">
      <w:footerReference w:type="even" r:id="rId11"/>
      <w:footerReference w:type="default" r:id="rId12"/>
      <w:pgSz w:w="16838" w:h="11906" w:orient="landscape"/>
      <w:pgMar w:top="1016" w:right="1138" w:bottom="1296" w:left="113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B10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91D65" w14:textId="77777777" w:rsidR="00C4053F" w:rsidRDefault="00C4053F">
      <w:r>
        <w:separator/>
      </w:r>
    </w:p>
  </w:endnote>
  <w:endnote w:type="continuationSeparator" w:id="0">
    <w:p w14:paraId="66B009B6" w14:textId="77777777" w:rsidR="00C4053F" w:rsidRDefault="00C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D096" w14:textId="77777777" w:rsidR="00752E2C" w:rsidRDefault="008F2AF4" w:rsidP="0099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0D097" w14:textId="77777777" w:rsidR="00752E2C" w:rsidRDefault="00C4053F" w:rsidP="00285A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D098" w14:textId="77777777" w:rsidR="00752E2C" w:rsidRDefault="008F2AF4" w:rsidP="0099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CB6">
      <w:rPr>
        <w:rStyle w:val="PageNumber"/>
        <w:noProof/>
      </w:rPr>
      <w:t>8</w:t>
    </w:r>
    <w:r>
      <w:rPr>
        <w:rStyle w:val="PageNumber"/>
      </w:rPr>
      <w:fldChar w:fldCharType="end"/>
    </w:r>
  </w:p>
  <w:p w14:paraId="5DA0D099" w14:textId="77777777" w:rsidR="00752E2C" w:rsidRDefault="00C4053F" w:rsidP="00285A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23242" w14:textId="77777777" w:rsidR="00C4053F" w:rsidRDefault="00C4053F">
      <w:r>
        <w:separator/>
      </w:r>
    </w:p>
  </w:footnote>
  <w:footnote w:type="continuationSeparator" w:id="0">
    <w:p w14:paraId="6E61C40C" w14:textId="77777777" w:rsidR="00C4053F" w:rsidRDefault="00C4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533"/>
    <w:multiLevelType w:val="hybridMultilevel"/>
    <w:tmpl w:val="9936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E0C35"/>
    <w:multiLevelType w:val="hybridMultilevel"/>
    <w:tmpl w:val="DFF4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57BBC"/>
    <w:multiLevelType w:val="hybridMultilevel"/>
    <w:tmpl w:val="E3222900"/>
    <w:lvl w:ilvl="0" w:tplc="34864242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C0E26"/>
    <w:multiLevelType w:val="hybridMultilevel"/>
    <w:tmpl w:val="E956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84647"/>
    <w:multiLevelType w:val="hybridMultilevel"/>
    <w:tmpl w:val="72C42D52"/>
    <w:lvl w:ilvl="0" w:tplc="FBD6E7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>
    <w:nsid w:val="7FD56957"/>
    <w:multiLevelType w:val="hybridMultilevel"/>
    <w:tmpl w:val="09D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Էդմոնդ Վարդումյան">
    <w15:presenceInfo w15:providerId="AD" w15:userId="S-1-5-21-602162358-287218729-839522115-2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33"/>
    <w:rsid w:val="00006F6B"/>
    <w:rsid w:val="000135B8"/>
    <w:rsid w:val="00024EAC"/>
    <w:rsid w:val="000359F1"/>
    <w:rsid w:val="00062D77"/>
    <w:rsid w:val="00063150"/>
    <w:rsid w:val="00065D16"/>
    <w:rsid w:val="000676DA"/>
    <w:rsid w:val="00087E13"/>
    <w:rsid w:val="000942EC"/>
    <w:rsid w:val="000965C3"/>
    <w:rsid w:val="000C670C"/>
    <w:rsid w:val="000D6E0E"/>
    <w:rsid w:val="000F5089"/>
    <w:rsid w:val="00103E5C"/>
    <w:rsid w:val="00106E66"/>
    <w:rsid w:val="001206D4"/>
    <w:rsid w:val="001279F7"/>
    <w:rsid w:val="00130D44"/>
    <w:rsid w:val="00133118"/>
    <w:rsid w:val="00136095"/>
    <w:rsid w:val="00147B9E"/>
    <w:rsid w:val="00154D72"/>
    <w:rsid w:val="001571E3"/>
    <w:rsid w:val="001755AB"/>
    <w:rsid w:val="001830A2"/>
    <w:rsid w:val="00186C37"/>
    <w:rsid w:val="00191425"/>
    <w:rsid w:val="00191D5F"/>
    <w:rsid w:val="00195514"/>
    <w:rsid w:val="001A16EE"/>
    <w:rsid w:val="001B1C23"/>
    <w:rsid w:val="001B4620"/>
    <w:rsid w:val="002050D2"/>
    <w:rsid w:val="00212B80"/>
    <w:rsid w:val="002241AC"/>
    <w:rsid w:val="00224C87"/>
    <w:rsid w:val="00232554"/>
    <w:rsid w:val="00236A81"/>
    <w:rsid w:val="00246C36"/>
    <w:rsid w:val="0025522C"/>
    <w:rsid w:val="00256AD9"/>
    <w:rsid w:val="00256EF2"/>
    <w:rsid w:val="00295643"/>
    <w:rsid w:val="002A3468"/>
    <w:rsid w:val="002A39ED"/>
    <w:rsid w:val="002B4CC9"/>
    <w:rsid w:val="002B7902"/>
    <w:rsid w:val="002D096C"/>
    <w:rsid w:val="002E39F0"/>
    <w:rsid w:val="002F0689"/>
    <w:rsid w:val="002F7DFA"/>
    <w:rsid w:val="00305D50"/>
    <w:rsid w:val="0030740D"/>
    <w:rsid w:val="0030755E"/>
    <w:rsid w:val="003139D2"/>
    <w:rsid w:val="0032481A"/>
    <w:rsid w:val="003248EE"/>
    <w:rsid w:val="00324DBD"/>
    <w:rsid w:val="00336387"/>
    <w:rsid w:val="00341DE9"/>
    <w:rsid w:val="00345B60"/>
    <w:rsid w:val="0035573B"/>
    <w:rsid w:val="00363D74"/>
    <w:rsid w:val="0036691D"/>
    <w:rsid w:val="003727B8"/>
    <w:rsid w:val="00391A9B"/>
    <w:rsid w:val="003A5A66"/>
    <w:rsid w:val="003B170A"/>
    <w:rsid w:val="003B1F92"/>
    <w:rsid w:val="003C506D"/>
    <w:rsid w:val="003C7D0B"/>
    <w:rsid w:val="003D69FC"/>
    <w:rsid w:val="003E71EF"/>
    <w:rsid w:val="003F6DCA"/>
    <w:rsid w:val="003F72F1"/>
    <w:rsid w:val="004042F6"/>
    <w:rsid w:val="00404DA8"/>
    <w:rsid w:val="00414DD6"/>
    <w:rsid w:val="00416518"/>
    <w:rsid w:val="0043657E"/>
    <w:rsid w:val="00437E19"/>
    <w:rsid w:val="00453F12"/>
    <w:rsid w:val="004600E5"/>
    <w:rsid w:val="004616D7"/>
    <w:rsid w:val="00464ED6"/>
    <w:rsid w:val="0048525C"/>
    <w:rsid w:val="00493EFD"/>
    <w:rsid w:val="004A76D3"/>
    <w:rsid w:val="004B0D69"/>
    <w:rsid w:val="004B392E"/>
    <w:rsid w:val="004B48F6"/>
    <w:rsid w:val="004C7190"/>
    <w:rsid w:val="004D24D4"/>
    <w:rsid w:val="004D4684"/>
    <w:rsid w:val="004F093C"/>
    <w:rsid w:val="004F10B8"/>
    <w:rsid w:val="004F4ABF"/>
    <w:rsid w:val="004F66AE"/>
    <w:rsid w:val="00521423"/>
    <w:rsid w:val="005346CB"/>
    <w:rsid w:val="0054001D"/>
    <w:rsid w:val="00544550"/>
    <w:rsid w:val="005476E1"/>
    <w:rsid w:val="00564A1F"/>
    <w:rsid w:val="00566B28"/>
    <w:rsid w:val="00567E33"/>
    <w:rsid w:val="0057236F"/>
    <w:rsid w:val="005728AB"/>
    <w:rsid w:val="005751C7"/>
    <w:rsid w:val="00595EF0"/>
    <w:rsid w:val="005A2066"/>
    <w:rsid w:val="005B4097"/>
    <w:rsid w:val="005C1983"/>
    <w:rsid w:val="005E0C26"/>
    <w:rsid w:val="005F4E0D"/>
    <w:rsid w:val="005F65C4"/>
    <w:rsid w:val="006124BE"/>
    <w:rsid w:val="00613B6F"/>
    <w:rsid w:val="00623003"/>
    <w:rsid w:val="00630DE3"/>
    <w:rsid w:val="00640D35"/>
    <w:rsid w:val="006411C1"/>
    <w:rsid w:val="00646524"/>
    <w:rsid w:val="0065265F"/>
    <w:rsid w:val="00655C0A"/>
    <w:rsid w:val="00656897"/>
    <w:rsid w:val="00661E39"/>
    <w:rsid w:val="0066376E"/>
    <w:rsid w:val="00667BE7"/>
    <w:rsid w:val="00671253"/>
    <w:rsid w:val="006741F4"/>
    <w:rsid w:val="00676D41"/>
    <w:rsid w:val="006869C1"/>
    <w:rsid w:val="006A4BF4"/>
    <w:rsid w:val="006A5824"/>
    <w:rsid w:val="006B682B"/>
    <w:rsid w:val="006C0D42"/>
    <w:rsid w:val="006D3D00"/>
    <w:rsid w:val="006D6675"/>
    <w:rsid w:val="006F30AF"/>
    <w:rsid w:val="006F6F08"/>
    <w:rsid w:val="007047F3"/>
    <w:rsid w:val="00722312"/>
    <w:rsid w:val="007256D5"/>
    <w:rsid w:val="007300CC"/>
    <w:rsid w:val="00740EB0"/>
    <w:rsid w:val="007512C4"/>
    <w:rsid w:val="0075205E"/>
    <w:rsid w:val="007735C9"/>
    <w:rsid w:val="007736E8"/>
    <w:rsid w:val="00786B9E"/>
    <w:rsid w:val="007A2BCE"/>
    <w:rsid w:val="007D4689"/>
    <w:rsid w:val="00843D23"/>
    <w:rsid w:val="008527C1"/>
    <w:rsid w:val="00856C1C"/>
    <w:rsid w:val="00877208"/>
    <w:rsid w:val="00892DFB"/>
    <w:rsid w:val="008A11D0"/>
    <w:rsid w:val="008A249D"/>
    <w:rsid w:val="008A5EE9"/>
    <w:rsid w:val="008A74B3"/>
    <w:rsid w:val="008B1D48"/>
    <w:rsid w:val="008B2CBB"/>
    <w:rsid w:val="008B599A"/>
    <w:rsid w:val="008C7BF3"/>
    <w:rsid w:val="008D2F28"/>
    <w:rsid w:val="008D5D05"/>
    <w:rsid w:val="008F2AF4"/>
    <w:rsid w:val="008F7651"/>
    <w:rsid w:val="009366DB"/>
    <w:rsid w:val="009456FC"/>
    <w:rsid w:val="009647D3"/>
    <w:rsid w:val="00971CB6"/>
    <w:rsid w:val="00973581"/>
    <w:rsid w:val="009837DF"/>
    <w:rsid w:val="00984ACD"/>
    <w:rsid w:val="0099093A"/>
    <w:rsid w:val="009B3F63"/>
    <w:rsid w:val="009B689E"/>
    <w:rsid w:val="009C37A3"/>
    <w:rsid w:val="009C58CB"/>
    <w:rsid w:val="009C62EB"/>
    <w:rsid w:val="009D003F"/>
    <w:rsid w:val="009D4DA3"/>
    <w:rsid w:val="009D5D0F"/>
    <w:rsid w:val="009E7A0C"/>
    <w:rsid w:val="00A021B8"/>
    <w:rsid w:val="00A06D9F"/>
    <w:rsid w:val="00A115A6"/>
    <w:rsid w:val="00A254FD"/>
    <w:rsid w:val="00A3704E"/>
    <w:rsid w:val="00A373E4"/>
    <w:rsid w:val="00A43D11"/>
    <w:rsid w:val="00A4481B"/>
    <w:rsid w:val="00A50266"/>
    <w:rsid w:val="00A55C75"/>
    <w:rsid w:val="00A60E48"/>
    <w:rsid w:val="00A6299F"/>
    <w:rsid w:val="00A70824"/>
    <w:rsid w:val="00A817BA"/>
    <w:rsid w:val="00A8482B"/>
    <w:rsid w:val="00AA3F62"/>
    <w:rsid w:val="00AB65DA"/>
    <w:rsid w:val="00AC1033"/>
    <w:rsid w:val="00AD1E9C"/>
    <w:rsid w:val="00AD2DBF"/>
    <w:rsid w:val="00AE3AA9"/>
    <w:rsid w:val="00AF2A5D"/>
    <w:rsid w:val="00AF32A2"/>
    <w:rsid w:val="00B11B38"/>
    <w:rsid w:val="00B23EA5"/>
    <w:rsid w:val="00B24922"/>
    <w:rsid w:val="00B30294"/>
    <w:rsid w:val="00B52319"/>
    <w:rsid w:val="00B56B92"/>
    <w:rsid w:val="00B80782"/>
    <w:rsid w:val="00B9089D"/>
    <w:rsid w:val="00B94295"/>
    <w:rsid w:val="00BA3890"/>
    <w:rsid w:val="00BC4A45"/>
    <w:rsid w:val="00BD29A1"/>
    <w:rsid w:val="00BD46B7"/>
    <w:rsid w:val="00BD51CC"/>
    <w:rsid w:val="00BE7CC9"/>
    <w:rsid w:val="00C0102C"/>
    <w:rsid w:val="00C03226"/>
    <w:rsid w:val="00C03D95"/>
    <w:rsid w:val="00C07BA0"/>
    <w:rsid w:val="00C14783"/>
    <w:rsid w:val="00C16046"/>
    <w:rsid w:val="00C17FE2"/>
    <w:rsid w:val="00C20118"/>
    <w:rsid w:val="00C2192E"/>
    <w:rsid w:val="00C2692F"/>
    <w:rsid w:val="00C303B3"/>
    <w:rsid w:val="00C4053F"/>
    <w:rsid w:val="00C46639"/>
    <w:rsid w:val="00C60374"/>
    <w:rsid w:val="00C60BA0"/>
    <w:rsid w:val="00C76062"/>
    <w:rsid w:val="00C85B79"/>
    <w:rsid w:val="00CA1998"/>
    <w:rsid w:val="00CA709F"/>
    <w:rsid w:val="00CC2983"/>
    <w:rsid w:val="00CD259D"/>
    <w:rsid w:val="00CD6B3B"/>
    <w:rsid w:val="00CD7CC9"/>
    <w:rsid w:val="00CE482D"/>
    <w:rsid w:val="00CF53D4"/>
    <w:rsid w:val="00D078B8"/>
    <w:rsid w:val="00D117A6"/>
    <w:rsid w:val="00D15B03"/>
    <w:rsid w:val="00D309B0"/>
    <w:rsid w:val="00D342D6"/>
    <w:rsid w:val="00D369C4"/>
    <w:rsid w:val="00D4045B"/>
    <w:rsid w:val="00D432EF"/>
    <w:rsid w:val="00D521D0"/>
    <w:rsid w:val="00D6458B"/>
    <w:rsid w:val="00DA7333"/>
    <w:rsid w:val="00DB057A"/>
    <w:rsid w:val="00DC036F"/>
    <w:rsid w:val="00DC43B7"/>
    <w:rsid w:val="00DD3F4B"/>
    <w:rsid w:val="00DF669C"/>
    <w:rsid w:val="00E02822"/>
    <w:rsid w:val="00E0284F"/>
    <w:rsid w:val="00E03A7E"/>
    <w:rsid w:val="00E0535C"/>
    <w:rsid w:val="00E2140C"/>
    <w:rsid w:val="00E22C81"/>
    <w:rsid w:val="00E3654D"/>
    <w:rsid w:val="00E425F1"/>
    <w:rsid w:val="00E55752"/>
    <w:rsid w:val="00E72CB1"/>
    <w:rsid w:val="00E84EBA"/>
    <w:rsid w:val="00E86F46"/>
    <w:rsid w:val="00EB3EA5"/>
    <w:rsid w:val="00EB6CB0"/>
    <w:rsid w:val="00EC63E4"/>
    <w:rsid w:val="00ED7E25"/>
    <w:rsid w:val="00EE30E5"/>
    <w:rsid w:val="00EF37F7"/>
    <w:rsid w:val="00F000C3"/>
    <w:rsid w:val="00F00482"/>
    <w:rsid w:val="00F02490"/>
    <w:rsid w:val="00F2403E"/>
    <w:rsid w:val="00F27319"/>
    <w:rsid w:val="00F335BA"/>
    <w:rsid w:val="00F50DA2"/>
    <w:rsid w:val="00F5572A"/>
    <w:rsid w:val="00F63CD6"/>
    <w:rsid w:val="00F748E0"/>
    <w:rsid w:val="00F810CF"/>
    <w:rsid w:val="00F85888"/>
    <w:rsid w:val="00F85B83"/>
    <w:rsid w:val="00FA0CC7"/>
    <w:rsid w:val="00FA3FC7"/>
    <w:rsid w:val="00FA40FB"/>
    <w:rsid w:val="00FB2AD7"/>
    <w:rsid w:val="00FC1623"/>
    <w:rsid w:val="00FC17F8"/>
    <w:rsid w:val="00FD7458"/>
    <w:rsid w:val="00FE6AAD"/>
    <w:rsid w:val="00FF3320"/>
    <w:rsid w:val="00FF5102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C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F2AF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rsid w:val="008F2AF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1">
    <w:name w:val="Footer Char1"/>
    <w:basedOn w:val="DefaultParagraphFont"/>
    <w:link w:val="Footer"/>
    <w:locked/>
    <w:rsid w:val="008F2AF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8F2AF4"/>
  </w:style>
  <w:style w:type="paragraph" w:styleId="ListParagraph">
    <w:name w:val="List Paragraph"/>
    <w:basedOn w:val="Normal"/>
    <w:uiPriority w:val="34"/>
    <w:qFormat/>
    <w:rsid w:val="00246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10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0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0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apple-converted-space">
    <w:name w:val="apple-converted-space"/>
    <w:basedOn w:val="DefaultParagraphFont"/>
    <w:rsid w:val="009C37A3"/>
  </w:style>
  <w:style w:type="paragraph" w:styleId="NormalWeb">
    <w:name w:val="Normal (Web)"/>
    <w:basedOn w:val="Normal"/>
    <w:uiPriority w:val="99"/>
    <w:unhideWhenUsed/>
    <w:rsid w:val="009C37A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A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5F65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F2AF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rsid w:val="008F2AF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1">
    <w:name w:val="Footer Char1"/>
    <w:basedOn w:val="DefaultParagraphFont"/>
    <w:link w:val="Footer"/>
    <w:locked/>
    <w:rsid w:val="008F2AF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8F2AF4"/>
  </w:style>
  <w:style w:type="paragraph" w:styleId="ListParagraph">
    <w:name w:val="List Paragraph"/>
    <w:basedOn w:val="Normal"/>
    <w:uiPriority w:val="34"/>
    <w:qFormat/>
    <w:rsid w:val="00246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10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0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0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apple-converted-space">
    <w:name w:val="apple-converted-space"/>
    <w:basedOn w:val="DefaultParagraphFont"/>
    <w:rsid w:val="009C37A3"/>
  </w:style>
  <w:style w:type="paragraph" w:styleId="NormalWeb">
    <w:name w:val="Normal (Web)"/>
    <w:basedOn w:val="Normal"/>
    <w:uiPriority w:val="99"/>
    <w:unhideWhenUsed/>
    <w:rsid w:val="009C37A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A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5F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56D9-F478-4610-B544-F4D305527728}"/>
</file>

<file path=customXml/itemProps2.xml><?xml version="1.0" encoding="utf-8"?>
<ds:datastoreItem xmlns:ds="http://schemas.openxmlformats.org/officeDocument/2006/customXml" ds:itemID="{2AC6950D-23FE-493E-8A67-47426A93E28C}"/>
</file>

<file path=customXml/itemProps3.xml><?xml version="1.0" encoding="utf-8"?>
<ds:datastoreItem xmlns:ds="http://schemas.openxmlformats.org/officeDocument/2006/customXml" ds:itemID="{14AD667A-B3CE-497C-9039-7FCE3B215A44}"/>
</file>

<file path=customXml/itemProps4.xml><?xml version="1.0" encoding="utf-8"?>
<ds:datastoreItem xmlns:ds="http://schemas.openxmlformats.org/officeDocument/2006/customXml" ds:itemID="{4AA2E48B-C38F-44B4-BF1E-76D3B13C1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Mikhail Mkrtumyan</dc:creator>
  <cp:lastModifiedBy>Mikhail</cp:lastModifiedBy>
  <cp:revision>7</cp:revision>
  <dcterms:created xsi:type="dcterms:W3CDTF">2017-08-01T08:28:00Z</dcterms:created>
  <dcterms:modified xsi:type="dcterms:W3CDTF">2017-08-03T08:22:00Z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3983900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  <property fmtid="{D5CDD505-2E9C-101B-9397-08002B2CF9AE}" pid="26" name="_SourceUrl">
    <vt:lpwstr/>
  </property>
  <property fmtid="{D5CDD505-2E9C-101B-9397-08002B2CF9AE}" pid="27" name="_SharedFileIndex">
    <vt:lpwstr/>
  </property>
</Properties>
</file>