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5671"/>
        <w:gridCol w:w="5386"/>
      </w:tblGrid>
      <w:tr w:rsidR="00CF7976" w:rsidRPr="00241B82" w:rsidTr="00EA5AF0">
        <w:tc>
          <w:tcPr>
            <w:tcW w:w="5671" w:type="dxa"/>
          </w:tcPr>
          <w:p w:rsidR="00CF7976" w:rsidRPr="00F67272" w:rsidRDefault="00AB5602" w:rsidP="00A061F1">
            <w:pPr>
              <w:pStyle w:val="Heading1"/>
              <w:tabs>
                <w:tab w:val="left" w:pos="5"/>
              </w:tabs>
              <w:spacing w:after="0" w:line="240" w:lineRule="auto"/>
              <w:outlineLvl w:val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ՓՈԽԸՄ</w:t>
            </w:r>
            <w:r w:rsidR="00CF7976" w:rsidRPr="00F67272">
              <w:rPr>
                <w:rFonts w:ascii="Sylfaen" w:hAnsi="Sylfaen"/>
                <w:sz w:val="24"/>
                <w:szCs w:val="24"/>
                <w:lang w:val="hy-AM"/>
              </w:rPr>
              <w:t>ԲՌՆՄԱՆ ՀՈՒՇԱԳԻՐ</w:t>
            </w:r>
          </w:p>
          <w:p w:rsidR="00BA1A6D" w:rsidRPr="00F67272" w:rsidRDefault="00BA1A6D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970FDE" w:rsidRPr="00F67272" w:rsidRDefault="004404A8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________________ </w:t>
            </w:r>
            <w:r w:rsidR="00970FDE" w:rsidRPr="00F67272">
              <w:rPr>
                <w:rFonts w:ascii="Sylfaen" w:hAnsi="Sylfaen"/>
                <w:sz w:val="24"/>
                <w:szCs w:val="24"/>
                <w:lang w:val="hy-AM"/>
              </w:rPr>
              <w:t>2017</w:t>
            </w:r>
          </w:p>
          <w:p w:rsidR="0089269B" w:rsidRPr="00F67272" w:rsidRDefault="0089269B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E330BC" w:rsidRPr="00F67272" w:rsidRDefault="00E330BC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hy-AM"/>
              </w:rPr>
            </w:pP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«</w:t>
            </w:r>
            <w:r w:rsidRPr="00F67272">
              <w:rPr>
                <w:rFonts w:ascii="Sylfaen" w:hAnsi="Sylfaen" w:cs="Sylfaen"/>
                <w:szCs w:val="24"/>
                <w:lang w:val="hy-AM"/>
              </w:rPr>
              <w:t>Քոնթու</w:t>
            </w:r>
            <w:r w:rsidRPr="00F67272">
              <w:rPr>
                <w:rFonts w:ascii="Sylfaen" w:hAnsi="Sylfaen" w:cs="Verdana"/>
                <w:szCs w:val="24"/>
                <w:lang w:val="hy-AM"/>
              </w:rPr>
              <w:t>ր</w:t>
            </w:r>
            <w:r w:rsidRPr="00F67272">
              <w:rPr>
                <w:rFonts w:ascii="Sylfaen" w:hAnsi="Sylfaen" w:cs="Sylfaen"/>
                <w:szCs w:val="24"/>
                <w:lang w:val="hy-AM"/>
              </w:rPr>
              <w:t>Գ</w:t>
            </w:r>
            <w:r w:rsidRPr="00F67272">
              <w:rPr>
                <w:rFonts w:ascii="Sylfaen" w:hAnsi="Sylfaen"/>
                <w:szCs w:val="24"/>
                <w:lang w:val="hy-AM"/>
              </w:rPr>
              <w:t xml:space="preserve">լոբալ Հիդրո Կասկադ» </w:t>
            </w:r>
            <w:r w:rsidR="009478E9" w:rsidRPr="00F67272">
              <w:rPr>
                <w:rFonts w:ascii="Sylfaen" w:hAnsi="Sylfaen"/>
                <w:szCs w:val="24"/>
                <w:lang w:val="hy-AM"/>
              </w:rPr>
              <w:t>փակ բաժնետիրական ընկերությունը</w:t>
            </w:r>
            <w:r w:rsidR="009A6D3B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</w:t>
            </w:r>
            <w:r w:rsidR="009478E9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(այսուհետ՝ </w:t>
            </w:r>
            <w:r w:rsidR="009478E9" w:rsidRPr="00F67272">
              <w:rPr>
                <w:rFonts w:ascii="Sylfaen" w:hAnsi="Sylfaen"/>
                <w:szCs w:val="24"/>
                <w:lang w:val="hy-AM"/>
              </w:rPr>
              <w:t>Ը</w:t>
            </w:r>
            <w:r w:rsidR="00577E4F" w:rsidRPr="00F67272">
              <w:rPr>
                <w:rFonts w:ascii="Sylfaen" w:hAnsi="Sylfaen"/>
                <w:szCs w:val="24"/>
                <w:lang w:val="hy-AM"/>
              </w:rPr>
              <w:t>նկերություն</w:t>
            </w:r>
            <w:r w:rsidR="00577E4F" w:rsidRPr="00F67272">
              <w:rPr>
                <w:rFonts w:ascii="Sylfaen" w:hAnsi="Sylfaen"/>
                <w:b w:val="0"/>
                <w:szCs w:val="24"/>
                <w:lang w:val="hy-AM"/>
              </w:rPr>
              <w:t>)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,</w:t>
            </w:r>
            <w:r w:rsidR="009A6D3B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</w:t>
            </w:r>
            <w:r w:rsidR="009478E9" w:rsidRPr="00F67272">
              <w:rPr>
                <w:rFonts w:ascii="Sylfaen" w:hAnsi="Sylfaen"/>
                <w:b w:val="0"/>
                <w:szCs w:val="24"/>
                <w:lang w:val="hy-AM"/>
              </w:rPr>
              <w:t>հասցե՝</w:t>
            </w:r>
            <w:r w:rsidR="009A6D3B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Երևան</w:t>
            </w:r>
            <w:r w:rsidR="009478E9" w:rsidRPr="00F67272">
              <w:rPr>
                <w:rFonts w:ascii="Sylfaen" w:hAnsi="Sylfaen"/>
                <w:b w:val="0"/>
                <w:szCs w:val="24"/>
                <w:lang w:val="hy-AM"/>
              </w:rPr>
              <w:t>,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Մելիք Ադամյան</w:t>
            </w:r>
            <w:r w:rsidR="009478E9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2/2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, ի դեմս տնօրեն</w:t>
            </w:r>
            <w:r w:rsidRPr="00F67272">
              <w:rPr>
                <w:rFonts w:ascii="Sylfaen" w:hAnsi="Sylfaen"/>
                <w:szCs w:val="24"/>
                <w:lang w:val="hy-AM"/>
              </w:rPr>
              <w:t xml:space="preserve"> Արա Հովսեփյանի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, և</w:t>
            </w:r>
          </w:p>
          <w:p w:rsidR="00E06938" w:rsidRPr="00F67272" w:rsidRDefault="00E06938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szCs w:val="24"/>
                <w:lang w:val="hy-AM"/>
              </w:rPr>
            </w:pPr>
          </w:p>
          <w:p w:rsidR="00EA5AF0" w:rsidRPr="00F67272" w:rsidRDefault="00E330BC" w:rsidP="00EA5AF0">
            <w:pPr>
              <w:tabs>
                <w:tab w:val="left" w:pos="5"/>
              </w:tabs>
              <w:jc w:val="both"/>
              <w:outlineLvl w:val="1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ՀՀ </w:t>
            </w:r>
            <w:r w:rsidR="00FC43EA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էներգետիկ ենթակառուցվածքների և բնական պաշարների նախարարությունը</w:t>
            </w:r>
            <w:r w:rsidR="009478E9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(այսուհետ՝ </w:t>
            </w:r>
            <w:r w:rsidR="00FC43EA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Նախարարություն</w:t>
            </w:r>
            <w:r w:rsidR="009478E9" w:rsidRPr="00F67272">
              <w:rPr>
                <w:rFonts w:ascii="Sylfaen" w:hAnsi="Sylfaen"/>
                <w:sz w:val="24"/>
                <w:szCs w:val="24"/>
                <w:lang w:val="hy-AM"/>
              </w:rPr>
              <w:t>)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="009478E9" w:rsidRPr="00F67272">
              <w:rPr>
                <w:rFonts w:ascii="Sylfaen" w:hAnsi="Sylfaen"/>
                <w:sz w:val="24"/>
                <w:szCs w:val="24"/>
                <w:lang w:val="hy-AM"/>
              </w:rPr>
              <w:t>հասցե</w:t>
            </w:r>
            <w:r w:rsidR="00CB3616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ք. Երևան,</w:t>
            </w:r>
            <w:r w:rsidR="0095792A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ՀՀ,</w:t>
            </w:r>
            <w:r w:rsidR="00CB3616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Հանրապետության հրապարակ, Կառավարական տուն 3, ի դեմս նախարար </w:t>
            </w:r>
            <w:r w:rsidR="00CB3616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Աշոտ Մանուկյանի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ով գործում է Հայաստանի Հանրապետության կառավարության 2017 թվականի նոյեմբերի ___-ի N ___ արձանագրային որոշման հիման վրա, </w:t>
            </w:r>
          </w:p>
          <w:p w:rsidR="001341DE" w:rsidRPr="00F67272" w:rsidRDefault="009478E9" w:rsidP="00EA5AF0">
            <w:pPr>
              <w:tabs>
                <w:tab w:val="left" w:pos="5"/>
              </w:tabs>
              <w:jc w:val="both"/>
              <w:outlineLvl w:val="1"/>
              <w:rPr>
                <w:rFonts w:ascii="Sylfaen" w:hAnsi="Sylfaen" w:cs="Tahoma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միասին՝ Կողմեր, </w:t>
            </w:r>
          </w:p>
          <w:p w:rsidR="00E06938" w:rsidRPr="00F67272" w:rsidRDefault="00E06938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621F5" w:rsidRPr="00F67272" w:rsidRDefault="00A621F5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ՆԿԱՏԻ ՈՒՆԵՆԱԼՈՎ, որ տարեկան 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մինչև 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1.150 գՎտԺ էլեկտրաէներգիա</w:t>
            </w:r>
            <w:r w:rsidR="006870DE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արտադրելը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6870DE" w:rsidRPr="00F67272">
              <w:rPr>
                <w:rFonts w:ascii="Sylfaen" w:hAnsi="Sylfaen"/>
                <w:sz w:val="24"/>
                <w:szCs w:val="24"/>
                <w:lang w:val="hy-AM"/>
              </w:rPr>
              <w:t>կախված է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համապատասխան տարում ջրամբարներում առկա ջրի մակարդակից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D324CA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Կողմերը սույնով ցանկանում եմ համագործակցել </w:t>
            </w:r>
            <w:r w:rsidR="00DB2B58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բարեխղճորեն, որ 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>ապահ</w:t>
            </w:r>
            <w:r w:rsidR="00DB2B58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ովվի, 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>հաշ</w:t>
            </w:r>
            <w:r w:rsidR="00DB2B58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վի առնելով կիրառելի օրենքներն ու կարգերը, 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>“Հայաստանի Էլեկտրական ցանցեր” ՓԲԸ (այսուհետ՝ ՀԷՑ) կողմից տարեկան մինչև 1.150 գՎտԺ էլեկտրաէներգիայի գնումը Ընկերության և ՀԷՑ միջև 2015 թվականի հուլիսի 1-ին կնքված էլեկտրաէներգիայի առուվաճառքի թիվ 15-16 պայմանագրի (այսուհետ՝ էԱՊ) գո</w:t>
            </w:r>
            <w:r w:rsidR="00F441A3" w:rsidRPr="00F67272">
              <w:rPr>
                <w:rFonts w:ascii="Sylfaen" w:hAnsi="Sylfaen"/>
                <w:sz w:val="24"/>
                <w:szCs w:val="24"/>
                <w:lang w:val="hy-AM"/>
              </w:rPr>
              <w:t>ր</w:t>
            </w:r>
            <w:r w:rsidR="00E509D3" w:rsidRPr="00F67272">
              <w:rPr>
                <w:rFonts w:ascii="Sylfaen" w:hAnsi="Sylfaen"/>
                <w:sz w:val="24"/>
                <w:szCs w:val="24"/>
                <w:lang w:val="hy-AM"/>
              </w:rPr>
              <w:t>ծողության ամբողջ ընթացքում:</w:t>
            </w:r>
          </w:p>
          <w:p w:rsidR="00E3568F" w:rsidRPr="00F67272" w:rsidRDefault="00E3568F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1B7216" w:rsidRPr="00F67272" w:rsidRDefault="00AE19D1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 w:cs="Tahoma"/>
                <w:sz w:val="24"/>
                <w:szCs w:val="24"/>
                <w:lang w:val="hy-AM"/>
              </w:rPr>
              <w:t>Կողմերը</w:t>
            </w:r>
            <w:r w:rsidR="009A6D3B" w:rsidRPr="00F67272">
              <w:rPr>
                <w:rFonts w:ascii="Sylfaen" w:hAnsi="Sylfaen" w:cs="Tahoma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 w:cs="Tahoma"/>
                <w:sz w:val="24"/>
                <w:szCs w:val="24"/>
                <w:lang w:val="hy-AM"/>
              </w:rPr>
              <w:t xml:space="preserve">համաձայնվեցին </w:t>
            </w:r>
            <w:r w:rsidR="002B1743" w:rsidRPr="00F67272">
              <w:rPr>
                <w:rFonts w:ascii="Sylfaen" w:hAnsi="Sylfaen" w:cs="Tahoma"/>
                <w:sz w:val="24"/>
                <w:szCs w:val="24"/>
                <w:lang w:val="hy-AM"/>
              </w:rPr>
              <w:t>կնքե</w:t>
            </w:r>
            <w:r w:rsidRPr="00F67272">
              <w:rPr>
                <w:rFonts w:ascii="Sylfaen" w:hAnsi="Sylfaen" w:cs="Tahoma"/>
                <w:sz w:val="24"/>
                <w:szCs w:val="24"/>
                <w:lang w:val="hy-AM"/>
              </w:rPr>
              <w:t>լ</w:t>
            </w:r>
            <w:r w:rsidR="002B1743" w:rsidRPr="00F67272">
              <w:rPr>
                <w:rFonts w:ascii="Sylfaen" w:hAnsi="Sylfaen" w:cs="Tahoma"/>
                <w:sz w:val="24"/>
                <w:szCs w:val="24"/>
                <w:lang w:val="hy-AM"/>
              </w:rPr>
              <w:t xml:space="preserve"> սույն </w:t>
            </w:r>
            <w:r w:rsidR="002B1743" w:rsidRPr="00F67272">
              <w:rPr>
                <w:rFonts w:ascii="Sylfaen" w:hAnsi="Sylfaen" w:cs="Tahoma"/>
                <w:b/>
                <w:sz w:val="24"/>
                <w:szCs w:val="24"/>
                <w:lang w:val="hy-AM"/>
              </w:rPr>
              <w:t xml:space="preserve">Փոխըմբռնման Հուշագիրը </w:t>
            </w:r>
            <w:r w:rsidR="002B1743" w:rsidRPr="00F67272">
              <w:rPr>
                <w:rFonts w:ascii="Sylfaen" w:hAnsi="Sylfaen" w:cs="Tahoma"/>
                <w:sz w:val="24"/>
                <w:szCs w:val="24"/>
                <w:lang w:val="hy-AM"/>
              </w:rPr>
              <w:t xml:space="preserve">(այսուհետ` </w:t>
            </w:r>
            <w:r w:rsidR="002B1743" w:rsidRPr="00F67272">
              <w:rPr>
                <w:rFonts w:ascii="Sylfaen" w:hAnsi="Sylfaen" w:cs="Tahoma"/>
                <w:b/>
                <w:sz w:val="24"/>
                <w:szCs w:val="24"/>
                <w:lang w:val="hy-AM"/>
              </w:rPr>
              <w:t>Հուշագիր</w:t>
            </w:r>
            <w:r w:rsidR="002B1743" w:rsidRPr="00F67272">
              <w:rPr>
                <w:rFonts w:ascii="Sylfaen" w:hAnsi="Sylfaen" w:cs="Tahoma"/>
                <w:sz w:val="24"/>
                <w:szCs w:val="24"/>
                <w:lang w:val="hy-AM"/>
              </w:rPr>
              <w:t>) հետևյալի մասին.</w:t>
            </w:r>
          </w:p>
          <w:p w:rsidR="00E3568F" w:rsidRPr="00F67272" w:rsidRDefault="00E3568F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607154" w:rsidRPr="00F67272" w:rsidRDefault="00577E4F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EA5AF0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.</w:t>
            </w:r>
            <w:r w:rsidR="00EA5AF0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ab/>
            </w:r>
            <w:r w:rsidR="00607154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Համագործակցության հիմնական սկզբունքները</w:t>
            </w:r>
          </w:p>
          <w:p w:rsidR="003037AB" w:rsidRPr="00F67272" w:rsidRDefault="00EA5AF0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1.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62541E" w:rsidRPr="00F67272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  <w:r w:rsidR="009478E9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իմյանց հետ համագործակցությունը </w:t>
            </w:r>
            <w:r w:rsidR="00273C1D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շարունակելու և </w:t>
            </w:r>
            <w:r w:rsidR="009478E9" w:rsidRPr="00F67272">
              <w:rPr>
                <w:rFonts w:ascii="Sylfaen" w:hAnsi="Sylfaen"/>
                <w:sz w:val="24"/>
                <w:szCs w:val="24"/>
                <w:lang w:val="hy-AM"/>
              </w:rPr>
              <w:t>ամրապնդելու նպատակով</w:t>
            </w:r>
            <w:r w:rsidR="001E181F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և, հիմք ընդունելով </w:t>
            </w:r>
            <w:r w:rsidR="00693E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(i) </w:t>
            </w:r>
            <w:r w:rsidR="001E181F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«էներգետիկայի մասին» ՀՀ օրենքը, </w:t>
            </w:r>
            <w:r w:rsidR="00693E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(ii) </w:t>
            </w:r>
            <w:r w:rsidR="00DE3182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Ընկերության, Հայաստանի Հանրապետության, </w:t>
            </w:r>
            <w:r w:rsidR="003037AB" w:rsidRPr="00F67272">
              <w:rPr>
                <w:rFonts w:ascii="Sylfaen" w:hAnsi="Sylfaen"/>
                <w:sz w:val="24"/>
                <w:szCs w:val="24"/>
                <w:lang w:val="hy-AM"/>
              </w:rPr>
              <w:t>«Որոտան Հիդրոէլեկտրա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-</w:t>
            </w:r>
            <w:r w:rsidR="003037A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կայանների Համալիր» ՓԲԸ, «ՔոնթուրԳլոբալ Տերրա Հոլդինգս Էս-Ա-Էր-Էլ» և «Սի-Ջի Սոլյուշնս Գլոբալ Հոլդինգ Քամփնի» Էլ-Էլ-Սի միջև 2015 թվականի հունիսի 8-ին կնքված գույքի </w:t>
            </w:r>
            <w:r w:rsidR="003037AB" w:rsidRPr="00F6727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առուվաճառքի պայմանագիրը (այսուհետ՝ ԳԱԱ),</w:t>
            </w:r>
            <w:r w:rsidR="00693E1C" w:rsidRPr="00F67272">
              <w:rPr>
                <w:rFonts w:ascii="Sylfaen" w:hAnsi="Sylfaen" w:cs="Times New Roman"/>
                <w:bCs/>
                <w:sz w:val="24"/>
                <w:szCs w:val="24"/>
                <w:lang w:val="hy-AM"/>
              </w:rPr>
              <w:t xml:space="preserve"> (iii)</w:t>
            </w:r>
            <w:r w:rsidR="009A6D3B" w:rsidRPr="00F67272">
              <w:rPr>
                <w:rFonts w:ascii="Sylfaen" w:hAnsi="Sylfaen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3037AB" w:rsidRPr="00F67272">
              <w:rPr>
                <w:rFonts w:ascii="Sylfaen" w:hAnsi="Sylfaen"/>
                <w:sz w:val="24"/>
                <w:szCs w:val="24"/>
                <w:lang w:val="hy-AM"/>
              </w:rPr>
              <w:t>էԱՊ</w:t>
            </w:r>
            <w:r w:rsidR="00DA60E4" w:rsidRPr="00F67272">
              <w:rPr>
                <w:rFonts w:ascii="Sylfaen" w:hAnsi="Sylfaen"/>
                <w:sz w:val="24"/>
                <w:szCs w:val="24"/>
                <w:lang w:val="hy-AM"/>
              </w:rPr>
              <w:t>-ը</w:t>
            </w:r>
            <w:r w:rsidR="0062541E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, </w:t>
            </w:r>
            <w:r w:rsidR="0081656A" w:rsidRPr="00F67272">
              <w:rPr>
                <w:rFonts w:ascii="Sylfaen" w:hAnsi="Sylfaen" w:cs="Times New Roman"/>
                <w:bCs/>
                <w:sz w:val="24"/>
                <w:szCs w:val="24"/>
                <w:lang w:val="hy-AM"/>
              </w:rPr>
              <w:t xml:space="preserve">(iv) </w:t>
            </w:r>
            <w:r w:rsidR="0062541E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2015 թվականի հունիսի 17-ին Ընկերությանը տրամադրված էլեկտրաէներգիայի արտադրության թիվ 0576 լիցենզիան, </w:t>
            </w:r>
            <w:r w:rsidR="0081656A" w:rsidRPr="00F67272">
              <w:rPr>
                <w:rFonts w:ascii="Sylfaen" w:hAnsi="Sylfaen"/>
                <w:sz w:val="24"/>
                <w:szCs w:val="24"/>
                <w:lang w:val="hy-AM"/>
              </w:rPr>
              <w:t>և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81656A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(v) </w:t>
            </w:r>
            <w:r w:rsidR="0081656A" w:rsidRPr="00F67272">
              <w:rPr>
                <w:rFonts w:ascii="Sylfaen" w:hAnsi="Sylfaen" w:cs="Sylfaen"/>
                <w:snapToGrid w:val="0"/>
                <w:sz w:val="24"/>
                <w:szCs w:val="24"/>
                <w:lang w:val="hy-AM"/>
              </w:rPr>
              <w:t xml:space="preserve">Նախարարության </w:t>
            </w:r>
            <w:r w:rsidR="00E87088" w:rsidRPr="00F67272">
              <w:rPr>
                <w:rFonts w:ascii="Sylfaen" w:hAnsi="Sylfaen" w:cs="Sylfaen"/>
                <w:snapToGrid w:val="0"/>
                <w:sz w:val="24"/>
                <w:szCs w:val="24"/>
                <w:lang w:val="hy-AM"/>
              </w:rPr>
              <w:t xml:space="preserve">14.07.2017թ. թիվ </w:t>
            </w:r>
            <w:r w:rsidR="00E87088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1/22.3928- 17 գրությունը, </w:t>
            </w:r>
            <w:r w:rsidR="00DE3182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Կողմերը համաձայնվում են սահմանել Ընկերության և Նախարարության </w:t>
            </w:r>
            <w:r w:rsidR="00AB5602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փոխադարձ </w:t>
            </w:r>
            <w:r w:rsidR="00DE3182" w:rsidRPr="00F67272">
              <w:rPr>
                <w:rFonts w:ascii="Sylfaen" w:hAnsi="Sylfaen"/>
                <w:sz w:val="24"/>
                <w:szCs w:val="24"/>
                <w:lang w:val="hy-AM"/>
              </w:rPr>
              <w:t>իրավունքներն ու պարտավորությունները</w:t>
            </w:r>
            <w:r w:rsidR="00AB5602" w:rsidRPr="00F67272">
              <w:rPr>
                <w:rFonts w:ascii="Sylfaen" w:hAnsi="Sylfaen"/>
                <w:sz w:val="24"/>
                <w:szCs w:val="24"/>
                <w:lang w:val="hy-AM"/>
              </w:rPr>
              <w:t>՝</w:t>
            </w:r>
            <w:r w:rsidR="00DE3182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կապված տարեկան էլեկտրաէներգիայի 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արտադրության </w:t>
            </w:r>
            <w:r w:rsidR="00DE3182" w:rsidRPr="00F67272">
              <w:rPr>
                <w:rFonts w:ascii="Sylfaen" w:hAnsi="Sylfaen"/>
                <w:sz w:val="24"/>
                <w:szCs w:val="24"/>
                <w:lang w:val="hy-AM"/>
              </w:rPr>
              <w:t>չափաքանակների հետ, հետևյալ սկզբունքներին համապատասխան.</w:t>
            </w:r>
          </w:p>
          <w:p w:rsidR="00BD6F65" w:rsidRPr="00F67272" w:rsidRDefault="00EA5AF0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1.1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D91796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Նախարարությունը </w:t>
            </w:r>
            <w:r w:rsidR="00D27DF9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կգործադրի իր լավագույն ջանքերը, որ 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>երաշխավոր</w:t>
            </w:r>
            <w:r w:rsidR="00D27DF9" w:rsidRPr="00F67272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295CEE" w:rsidRPr="00F67272">
              <w:rPr>
                <w:rFonts w:ascii="Sylfaen" w:hAnsi="Sylfaen"/>
                <w:sz w:val="24"/>
                <w:szCs w:val="24"/>
                <w:lang w:val="hy-AM"/>
              </w:rPr>
              <w:t>ՀԷՑ-ի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կողմից </w:t>
            </w:r>
            <w:r w:rsidR="008528CF" w:rsidRPr="00F67272">
              <w:rPr>
                <w:rFonts w:ascii="Sylfaen" w:hAnsi="Sylfaen"/>
                <w:sz w:val="24"/>
                <w:szCs w:val="24"/>
                <w:lang w:val="hy-AM"/>
              </w:rPr>
              <w:t>Ընկերության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8528CF" w:rsidRPr="00F67272">
              <w:rPr>
                <w:rFonts w:ascii="Sylfaen" w:hAnsi="Sylfaen"/>
                <w:sz w:val="24"/>
                <w:szCs w:val="24"/>
                <w:lang w:val="hy-AM"/>
              </w:rPr>
              <w:t>արտադր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>ած</w:t>
            </w:r>
            <w:r w:rsidR="008528CF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տարեկան </w:t>
            </w:r>
            <w:r w:rsidR="00D91796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1.150 </w:t>
            </w:r>
            <w:r w:rsidR="008528CF" w:rsidRPr="00F67272">
              <w:rPr>
                <w:rFonts w:ascii="Sylfaen" w:hAnsi="Sylfaen"/>
                <w:sz w:val="24"/>
                <w:szCs w:val="24"/>
                <w:lang w:val="hy-AM"/>
              </w:rPr>
              <w:t>գՎտԺ էլեկտրաէներգիա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>յի</w:t>
            </w:r>
            <w:r w:rsidR="00295CEE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(Նվազագույն Գնման Պարտավորություն)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գնումը ԷԱՊ-ի գործողության ամբողջ ընթացքում՝</w:t>
            </w:r>
            <w:r w:rsidR="0025412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պայմանով, որ </w:t>
            </w:r>
            <w:r w:rsidR="00BD6F65" w:rsidRPr="00F67272">
              <w:rPr>
                <w:rFonts w:ascii="Sylfaen" w:hAnsi="Sylfaen"/>
                <w:sz w:val="24"/>
                <w:szCs w:val="24"/>
                <w:lang w:val="hy-AM"/>
              </w:rPr>
              <w:t>Կողմերը ընդունում եմ, որ.</w:t>
            </w:r>
          </w:p>
          <w:p w:rsidR="00EA5AF0" w:rsidRPr="00F67272" w:rsidRDefault="00BD6F65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(i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>)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Նվազագույն Գնման Պարտավորությունը </w:t>
            </w:r>
            <w:r w:rsidR="0025412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Ընկերությունը հնարավորություն </w:t>
            </w:r>
            <w:r w:rsidR="001559E0" w:rsidRPr="00F67272">
              <w:rPr>
                <w:rFonts w:ascii="Sylfaen" w:hAnsi="Sylfaen"/>
                <w:sz w:val="24"/>
                <w:szCs w:val="24"/>
                <w:lang w:val="hy-AM"/>
              </w:rPr>
              <w:t>կ</w:t>
            </w:r>
            <w:r w:rsidR="0025412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ունենա 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արտադրելու</w:t>
            </w:r>
            <w:r w:rsidR="00AB5602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՝ </w:t>
            </w:r>
            <w:r w:rsidR="00241B82" w:rsidRPr="00F67272">
              <w:rPr>
                <w:rFonts w:ascii="Sylfaen" w:hAnsi="Sylfaen"/>
                <w:sz w:val="24"/>
                <w:szCs w:val="24"/>
                <w:lang w:val="hy-AM"/>
              </w:rPr>
              <w:t>ելնելով</w:t>
            </w:r>
            <w:r w:rsidR="0025412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համապատասխան տարում ջրամբարներում առկա ջրի մակարդակ</w:t>
            </w:r>
            <w:r w:rsidR="00241B82" w:rsidRPr="00F67272">
              <w:rPr>
                <w:rFonts w:ascii="Sylfaen" w:hAnsi="Sylfaen"/>
                <w:sz w:val="24"/>
                <w:szCs w:val="24"/>
                <w:lang w:val="hy-AM"/>
              </w:rPr>
              <w:t>ից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, և</w:t>
            </w:r>
          </w:p>
          <w:p w:rsidR="00BD6F65" w:rsidRPr="00F67272" w:rsidRDefault="00EA5AF0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(ii)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BD6F65" w:rsidRPr="00F67272">
              <w:rPr>
                <w:rFonts w:ascii="Sylfaen" w:hAnsi="Sylfaen"/>
                <w:sz w:val="24"/>
                <w:szCs w:val="24"/>
                <w:lang w:val="hy-AM"/>
              </w:rPr>
              <w:t>վերջին 15 տարիների ընթացքում «Որոտան հիդրոէլեկտրակայանների համալիրի»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BD6F65" w:rsidRPr="00F67272">
              <w:rPr>
                <w:rFonts w:ascii="Sylfaen" w:hAnsi="Sylfaen"/>
                <w:sz w:val="24"/>
                <w:szCs w:val="24"/>
                <w:lang w:val="hy-AM"/>
              </w:rPr>
              <w:t>արտադրած էլեկտրաէներգիայի միջին չափաքանակը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BD6F65" w:rsidRPr="00F67272">
              <w:rPr>
                <w:rFonts w:ascii="Sylfaen" w:hAnsi="Sylfaen"/>
                <w:sz w:val="24"/>
                <w:szCs w:val="24"/>
                <w:lang w:val="hy-AM"/>
              </w:rPr>
              <w:t>կազմել է 1.068.96 գՎտԺ:</w:t>
            </w:r>
          </w:p>
          <w:p w:rsidR="003037AB" w:rsidRPr="00F67272" w:rsidRDefault="00241B82" w:rsidP="00EA5AF0">
            <w:pPr>
              <w:tabs>
                <w:tab w:val="left" w:pos="5"/>
              </w:tabs>
              <w:jc w:val="both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1.2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Նախարարությունը </w:t>
            </w:r>
            <w:r w:rsidR="005B0BC6" w:rsidRPr="00F67272">
              <w:rPr>
                <w:rFonts w:ascii="Sylfaen" w:hAnsi="Sylfaen"/>
                <w:sz w:val="24"/>
                <w:szCs w:val="24"/>
                <w:lang w:val="hy-AM"/>
              </w:rPr>
              <w:t>կգործադրի իր լավագույն ջանքերը, որ</w:t>
            </w:r>
            <w:r w:rsidR="006A7D15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պեսզի </w:t>
            </w:r>
            <w:r w:rsidR="00B44F22" w:rsidRPr="00F67272">
              <w:rPr>
                <w:rFonts w:ascii="Sylfaen" w:hAnsi="Sylfaen"/>
                <w:sz w:val="24"/>
                <w:szCs w:val="24"/>
                <w:lang w:val="hy-AM"/>
              </w:rPr>
              <w:t>«է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լեկտրաէներգետիկական</w:t>
            </w:r>
            <w:r w:rsidR="00E91D5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համակարգի</w:t>
            </w:r>
            <w:r w:rsidR="00EE6C2B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օպերատոր</w:t>
            </w:r>
            <w:r w:rsidR="00E91D5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» 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-ն. (i)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>համաձայնվ</w:t>
            </w:r>
            <w:r w:rsidR="006A7D15" w:rsidRPr="00F67272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Նվազագույն Գնման </w:t>
            </w:r>
            <w:r w:rsidR="00EE6C2B" w:rsidRPr="00F67272">
              <w:rPr>
                <w:rFonts w:ascii="Sylfaen" w:hAnsi="Sylfaen"/>
                <w:sz w:val="24"/>
                <w:szCs w:val="24"/>
                <w:lang w:val="hy-AM"/>
              </w:rPr>
              <w:t>Պարտավորությանը</w:t>
            </w:r>
            <w:r w:rsidR="001F081C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="00AB5602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լ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եկտրաէ</w:t>
            </w:r>
            <w:r w:rsidR="00AB5602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ն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երգիայի տարեկան չափաքանակների տարեկան կանխատեսման հաստատման ժամանակ</w:t>
            </w:r>
            <w:r w:rsidR="001F081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,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և 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>(ii)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E91D5C" w:rsidRPr="00F67272">
              <w:rPr>
                <w:rFonts w:ascii="Sylfaen" w:hAnsi="Sylfaen"/>
                <w:sz w:val="24"/>
                <w:szCs w:val="24"/>
                <w:lang w:val="hy-AM"/>
              </w:rPr>
              <w:t>ապահ</w:t>
            </w:r>
            <w:r w:rsidR="00413F2D" w:rsidRPr="00F67272"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r w:rsidR="00E91D5C" w:rsidRPr="00F67272">
              <w:rPr>
                <w:rFonts w:ascii="Sylfaen" w:hAnsi="Sylfaen"/>
                <w:sz w:val="24"/>
                <w:szCs w:val="24"/>
                <w:lang w:val="hy-AM"/>
              </w:rPr>
              <w:t>վ</w:t>
            </w:r>
            <w:r w:rsidR="006A7D15" w:rsidRPr="00F67272">
              <w:rPr>
                <w:rFonts w:ascii="Sylfaen" w:hAnsi="Sylfaen"/>
                <w:sz w:val="24"/>
                <w:szCs w:val="24"/>
                <w:lang w:val="hy-AM"/>
              </w:rPr>
              <w:t>ի</w:t>
            </w:r>
            <w:r w:rsidR="00E91D5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, որ 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փոփոխություն կատար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վի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ԷԱՊ-ում</w:t>
            </w:r>
            <w:r w:rsidR="00413F2D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վերևում նկարագրված</w:t>
            </w:r>
            <w:r w:rsidR="00E91D5C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>Նվազագույն Գնման Պարտավորությունը</w:t>
            </w:r>
            <w:r w:rsidR="001F081C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ամրագրելու նպատակով</w:t>
            </w:r>
            <w:r w:rsidR="00E41AB7" w:rsidRPr="00F67272">
              <w:rPr>
                <w:rFonts w:ascii="Sylfaen" w:hAnsi="Sylfaen" w:cs="Sylfaen"/>
                <w:sz w:val="24"/>
                <w:szCs w:val="24"/>
                <w:lang w:val="hy-AM"/>
              </w:rPr>
              <w:t>`</w:t>
            </w:r>
            <w:r w:rsidR="005B0BC6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հաշվի առնելով, սակայն, որ «Էներգետիկայի մասին» ՀՀ օրենքի 37 հոդվածի համաձայն </w:t>
            </w:r>
            <w:r w:rsidR="00A47C9F" w:rsidRPr="00F67272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="00E41AB7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Էլեկտրա</w:t>
            </w:r>
            <w:r w:rsidR="00A47C9F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էներգետիկական համակարգի օպերատոր» ՓԲԸ-ն</w:t>
            </w:r>
            <w:r w:rsidR="00E41AB7" w:rsidRPr="00F67272">
              <w:rPr>
                <w:rFonts w:ascii="Sylfaen" w:hAnsi="Sylfaen" w:cs="Sylfaen"/>
                <w:sz w:val="24"/>
                <w:szCs w:val="24"/>
                <w:lang w:val="hy-AM"/>
              </w:rPr>
              <w:t>,</w:t>
            </w:r>
            <w:r w:rsidR="00A47C9F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որպես համակարգի կարգավորող</w:t>
            </w:r>
            <w:r w:rsidR="006A7D15" w:rsidRPr="00F67272">
              <w:rPr>
                <w:rFonts w:ascii="Sylfaen" w:hAnsi="Sylfaen" w:cs="Sylfaen"/>
                <w:sz w:val="24"/>
                <w:szCs w:val="24"/>
                <w:lang w:val="hy-AM"/>
              </w:rPr>
              <w:t>,</w:t>
            </w:r>
            <w:r w:rsidR="00A47C9F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պարտավոր է կարգավորել համակարգը՝ ելնելով նվազագույն ծախսումներով </w:t>
            </w:r>
            <w:r w:rsidR="00E41AB7" w:rsidRPr="00F67272">
              <w:rPr>
                <w:rFonts w:ascii="Sylfaen" w:hAnsi="Sylfaen" w:cs="Sylfaen"/>
                <w:sz w:val="24"/>
                <w:szCs w:val="24"/>
                <w:lang w:val="hy-AM"/>
              </w:rPr>
              <w:t xml:space="preserve">ներքին </w:t>
            </w:r>
            <w:r w:rsidR="00A47C9F" w:rsidRPr="00F67272">
              <w:rPr>
                <w:rFonts w:ascii="Sylfaen" w:hAnsi="Sylfaen" w:cs="Sylfaen"/>
                <w:sz w:val="24"/>
                <w:szCs w:val="24"/>
                <w:lang w:val="hy-AM"/>
              </w:rPr>
              <w:t>շուկայի պահանջարկը բավարարելու սկզբունքից:</w:t>
            </w:r>
          </w:p>
          <w:p w:rsidR="00896AA9" w:rsidRPr="00F67272" w:rsidRDefault="00896AA9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607154" w:rsidRPr="00F67272" w:rsidRDefault="00EA5AF0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2.</w:t>
            </w: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ab/>
            </w:r>
            <w:r w:rsidR="0089269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Կողմերի պարտավորությունները </w:t>
            </w:r>
          </w:p>
          <w:p w:rsidR="002B1743" w:rsidRPr="00F67272" w:rsidRDefault="00607154" w:rsidP="00EA5AF0">
            <w:pPr>
              <w:pStyle w:val="norm"/>
              <w:tabs>
                <w:tab w:val="left" w:pos="5"/>
              </w:tabs>
              <w:spacing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2.1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FC43EA" w:rsidRPr="00F67272">
              <w:rPr>
                <w:rFonts w:ascii="Sylfaen" w:hAnsi="Sylfaen"/>
                <w:sz w:val="24"/>
                <w:szCs w:val="24"/>
                <w:lang w:val="hy-AM"/>
              </w:rPr>
              <w:t>Նախարարություն</w:t>
            </w:r>
            <w:r w:rsidR="008F1221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ը </w:t>
            </w:r>
            <w:r w:rsidRPr="00F67272">
              <w:rPr>
                <w:rFonts w:ascii="Sylfaen" w:hAnsi="Sylfaen"/>
                <w:spacing w:val="-8"/>
                <w:sz w:val="24"/>
                <w:szCs w:val="24"/>
                <w:lang w:val="hy-AM"/>
              </w:rPr>
              <w:t xml:space="preserve">և Ընկերությունը </w:t>
            </w:r>
            <w:r w:rsidRPr="00F67272">
              <w:rPr>
                <w:rFonts w:ascii="Sylfaen" w:hAnsi="Sylfaen"/>
                <w:spacing w:val="-8"/>
                <w:sz w:val="24"/>
                <w:szCs w:val="24"/>
                <w:lang w:val="hy-AM"/>
              </w:rPr>
              <w:lastRenderedPageBreak/>
              <w:t>պարտավորվում են</w:t>
            </w:r>
            <w:r w:rsidR="002C6B0D" w:rsidRPr="00F67272">
              <w:rPr>
                <w:rFonts w:ascii="Sylfaen" w:hAnsi="Sylfaen"/>
                <w:spacing w:val="-8"/>
                <w:sz w:val="24"/>
                <w:szCs w:val="24"/>
                <w:lang w:val="hy-AM"/>
              </w:rPr>
              <w:t xml:space="preserve"> համագործակցել սույն Հուշագրի 1-ին կետով նշված սկզբունքներին համապատասխան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:</w:t>
            </w:r>
          </w:p>
          <w:p w:rsidR="00302397" w:rsidRPr="00F67272" w:rsidRDefault="00302397" w:rsidP="00302397">
            <w:pPr>
              <w:pStyle w:val="norm"/>
              <w:tabs>
                <w:tab w:val="left" w:pos="5"/>
              </w:tabs>
              <w:spacing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2.2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ab/>
              <w:t>Կողմերի կողմից սույն Հուշագրում սահմանված պարտավորությունների խախտման դեպքում Կողմերը կրում եմ պատասխանատվություն ԳԱՊ  3,05 (ե) կետի պահանջներին համապատասխան:</w:t>
            </w:r>
          </w:p>
          <w:p w:rsidR="002C6B0D" w:rsidRPr="00F67272" w:rsidRDefault="002C6B0D" w:rsidP="00EA5AF0">
            <w:pPr>
              <w:pStyle w:val="norm"/>
              <w:tabs>
                <w:tab w:val="left" w:pos="5"/>
              </w:tabs>
              <w:spacing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607154" w:rsidRPr="00F67272" w:rsidRDefault="00607154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3. </w:t>
            </w:r>
            <w:r w:rsidR="00B4780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Հու</w:t>
            </w:r>
            <w:r w:rsidR="000D4472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շ</w:t>
            </w:r>
            <w:r w:rsidR="00B4780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ագրի </w:t>
            </w:r>
            <w:r w:rsidR="0089269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իրավական ուժը և </w:t>
            </w:r>
            <w:r w:rsidR="00B4780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ուժի մեջ մտնելը </w:t>
            </w:r>
          </w:p>
          <w:p w:rsidR="00607154" w:rsidRPr="00F67272" w:rsidRDefault="00607154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3.1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Սույն հուշագիրը ուժի մեջ է մտնում </w:t>
            </w:r>
            <w:r w:rsidR="00B4780B" w:rsidRPr="00F67272">
              <w:rPr>
                <w:rFonts w:ascii="Sylfaen" w:hAnsi="Sylfaen"/>
                <w:sz w:val="24"/>
                <w:szCs w:val="24"/>
                <w:lang w:val="hy-AM"/>
              </w:rPr>
              <w:t>փոխադարձաբար</w:t>
            </w:r>
            <w:r w:rsidR="009A6D3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ստորագր</w:t>
            </w:r>
            <w:r w:rsidR="00B4780B" w:rsidRPr="00F67272">
              <w:rPr>
                <w:rFonts w:ascii="Sylfaen" w:hAnsi="Sylfaen"/>
                <w:sz w:val="24"/>
                <w:szCs w:val="24"/>
                <w:lang w:val="hy-AM"/>
              </w:rPr>
              <w:t>ելու</w:t>
            </w:r>
            <w:r w:rsidR="003C150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պահից և գործում է մինչև </w:t>
            </w:r>
            <w:r w:rsidR="000A2190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Կողմերի կողմից իրենց պարտավորությունների </w:t>
            </w:r>
            <w:r w:rsidR="0089269B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ամբողջական </w:t>
            </w:r>
            <w:r w:rsidR="000A2190" w:rsidRPr="00F67272">
              <w:rPr>
                <w:rFonts w:ascii="Sylfaen" w:hAnsi="Sylfaen"/>
                <w:sz w:val="24"/>
                <w:szCs w:val="24"/>
                <w:lang w:val="hy-AM"/>
              </w:rPr>
              <w:t>կատարումը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: </w:t>
            </w:r>
          </w:p>
          <w:p w:rsidR="000A2190" w:rsidRPr="00F67272" w:rsidRDefault="000A2190" w:rsidP="00EA5AF0">
            <w:pPr>
              <w:tabs>
                <w:tab w:val="left" w:pos="5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3.2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Սույն Հուշագիրը հանդիսանում է իրավական պարտավորեցնող փաստաթուղթ, որում նշված պարտավորությունները ենթակա են պարտադիր կատարման Կողմերի կողմից:</w:t>
            </w:r>
          </w:p>
          <w:p w:rsidR="00302397" w:rsidRPr="00F67272" w:rsidRDefault="00302397" w:rsidP="00302397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3.3</w:t>
            </w: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ab/>
              <w:t>Սույն Հուշագիրը, ինչպես նաև դրանից ծագող կամ դրա հետ կապված պարտականությունները ղեկավարվում և մեկնաբանվում է Անգլիայի իրավունքի համաձայն:</w:t>
            </w:r>
          </w:p>
          <w:p w:rsidR="00607154" w:rsidRPr="00F67272" w:rsidRDefault="00EF1840" w:rsidP="00EA5AF0">
            <w:pPr>
              <w:tabs>
                <w:tab w:val="left" w:pos="5"/>
              </w:tabs>
              <w:jc w:val="both"/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t>3.</w:t>
            </w:r>
            <w:r w:rsidR="00302397" w:rsidRPr="00F67272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="00EA5AF0" w:rsidRPr="00F67272">
              <w:rPr>
                <w:rFonts w:ascii="Sylfaen" w:hAnsi="Sylfaen"/>
                <w:sz w:val="24"/>
                <w:szCs w:val="24"/>
                <w:lang w:val="hy-AM"/>
              </w:rPr>
              <w:tab/>
            </w:r>
            <w:r w:rsidR="00607154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Սույն Հուշագիրը կնքվում է հայերեն և անգլերեն լեզուներով, 2 (երկու) օրինակից</w:t>
            </w:r>
            <w:r w:rsidR="00E06938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 xml:space="preserve"> հավասարազոր օրինակներով</w:t>
            </w:r>
            <w:r w:rsidR="00607154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 xml:space="preserve">: Տարբերակների միջև անհապատասխանության դեպքում </w:t>
            </w:r>
            <w:r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նախապատվությունը տրվում է հայերեն լեզվով կազ</w:t>
            </w:r>
            <w:r w:rsidR="00E06938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մված օրինակին</w:t>
            </w:r>
            <w:r w:rsidR="00607154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: Կողմերից յուրաքանչյուրին տրվում է սույն Հուշագրի</w:t>
            </w:r>
            <w:r w:rsidR="00E06938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մեկ</w:t>
            </w:r>
            <w:r w:rsidR="00E06938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 xml:space="preserve"> օրինակ</w:t>
            </w:r>
            <w:r w:rsidR="00607154" w:rsidRPr="00F67272">
              <w:rPr>
                <w:rFonts w:ascii="Sylfaen" w:eastAsia="Times New Roman" w:hAnsi="Sylfaen" w:cs="Arial Unicode"/>
                <w:sz w:val="24"/>
                <w:szCs w:val="24"/>
                <w:lang w:val="hy-AM"/>
              </w:rPr>
              <w:t>:</w:t>
            </w:r>
          </w:p>
          <w:p w:rsidR="002354BF" w:rsidRPr="00F67272" w:rsidRDefault="002354BF" w:rsidP="00EA5AF0">
            <w:pPr>
              <w:tabs>
                <w:tab w:val="left" w:pos="5"/>
                <w:tab w:val="left" w:pos="360"/>
              </w:tabs>
              <w:jc w:val="both"/>
              <w:rPr>
                <w:rFonts w:ascii="Sylfaen" w:eastAsia="Times New Roman" w:hAnsi="Sylfaen" w:cs="Arial Unicode"/>
                <w:b/>
                <w:sz w:val="24"/>
                <w:szCs w:val="24"/>
                <w:lang w:val="hy-AM"/>
              </w:rPr>
            </w:pPr>
          </w:p>
          <w:p w:rsidR="0089269B" w:rsidRPr="00F67272" w:rsidRDefault="00250173" w:rsidP="00EA5AF0">
            <w:pPr>
              <w:tabs>
                <w:tab w:val="left" w:pos="5"/>
              </w:tabs>
              <w:jc w:val="both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“Քոնթուր Գլոբալ Հիդրո Կասկադ” ՓԲԸ</w:t>
            </w:r>
          </w:p>
          <w:p w:rsidR="00250173" w:rsidRPr="00F67272" w:rsidRDefault="00250173" w:rsidP="00EA5AF0">
            <w:pPr>
              <w:pStyle w:val="paragraph"/>
              <w:framePr w:hSpace="180" w:wrap="around" w:vAnchor="text" w:hAnchor="text" w:x="-601" w:y="1"/>
              <w:tabs>
                <w:tab w:val="left" w:pos="5"/>
              </w:tabs>
              <w:spacing w:before="0" w:beforeAutospacing="0" w:after="0" w:afterAutospacing="0"/>
              <w:suppressOverlap/>
              <w:jc w:val="both"/>
              <w:textAlignment w:val="baseline"/>
              <w:rPr>
                <w:rStyle w:val="normaltextrun"/>
                <w:rFonts w:ascii="Sylfaen" w:eastAsiaTheme="majorEastAsia" w:hAnsi="Sylfaen"/>
              </w:rPr>
            </w:pPr>
            <w:r w:rsidRPr="00F67272">
              <w:rPr>
                <w:rStyle w:val="normaltextrun"/>
                <w:rFonts w:ascii="Sylfaen" w:eastAsiaTheme="majorEastAsia" w:hAnsi="Sylfaen" w:cs="Arial"/>
              </w:rPr>
              <w:t>ք. Երևան, Մելիք Ադամյան 2/2</w:t>
            </w:r>
          </w:p>
          <w:p w:rsidR="00250173" w:rsidRPr="00F67272" w:rsidRDefault="00250173" w:rsidP="00EA5AF0">
            <w:pPr>
              <w:tabs>
                <w:tab w:val="left" w:pos="5"/>
              </w:tabs>
              <w:jc w:val="both"/>
              <w:rPr>
                <w:rFonts w:ascii="Sylfaen" w:hAnsi="Sylfaen" w:cs="Calibri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Ամերիաբանկ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 xml:space="preserve">, 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Երևան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 xml:space="preserve">, 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Հայաստան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 xml:space="preserve"> </w:t>
            </w:r>
          </w:p>
          <w:p w:rsidR="00250173" w:rsidRPr="00F67272" w:rsidRDefault="00250173" w:rsidP="00EA5AF0">
            <w:pPr>
              <w:tabs>
                <w:tab w:val="left" w:pos="5"/>
              </w:tabs>
              <w:jc w:val="both"/>
              <w:rPr>
                <w:rFonts w:ascii="Sylfaen" w:hAnsi="Sylfaen" w:cs="Calibri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բ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>/</w:t>
            </w:r>
            <w:r w:rsidRPr="00F67272">
              <w:rPr>
                <w:rFonts w:ascii="Sylfaen" w:hAnsi="Sylfaen" w:cs="Sylfaen"/>
                <w:sz w:val="24"/>
                <w:szCs w:val="24"/>
                <w:lang w:val="hy-AM"/>
              </w:rPr>
              <w:t>հ</w:t>
            </w:r>
            <w:r w:rsidRPr="00F67272">
              <w:rPr>
                <w:rFonts w:ascii="Sylfaen" w:hAnsi="Sylfaen" w:cs="Arial"/>
                <w:sz w:val="24"/>
                <w:szCs w:val="24"/>
                <w:lang w:val="hy-AM"/>
              </w:rPr>
              <w:t xml:space="preserve"> 15700-17462030100</w:t>
            </w:r>
          </w:p>
          <w:p w:rsidR="0089269B" w:rsidRPr="00F67272" w:rsidRDefault="0089269B" w:rsidP="00EA5AF0">
            <w:pPr>
              <w:tabs>
                <w:tab w:val="left" w:pos="5"/>
              </w:tabs>
              <w:jc w:val="both"/>
              <w:outlineLvl w:val="1"/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</w:pPr>
          </w:p>
          <w:p w:rsidR="00250173" w:rsidRPr="00F67272" w:rsidRDefault="00250173" w:rsidP="00EA5AF0">
            <w:pPr>
              <w:tabs>
                <w:tab w:val="left" w:pos="5"/>
              </w:tabs>
              <w:jc w:val="both"/>
              <w:outlineLvl w:val="1"/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</w:pPr>
            <w:r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  <w:t xml:space="preserve">Տնօրեն՝ </w:t>
            </w:r>
            <w:r w:rsidR="002354BF"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  <w:t>_________________</w:t>
            </w:r>
            <w:r w:rsidR="00EA5AF0"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  <w:t>Արա Հովսեփյան</w:t>
            </w:r>
          </w:p>
          <w:p w:rsidR="0095792A" w:rsidRPr="00F67272" w:rsidRDefault="0095792A" w:rsidP="00EA5AF0">
            <w:pPr>
              <w:tabs>
                <w:tab w:val="left" w:pos="5"/>
              </w:tabs>
              <w:jc w:val="both"/>
              <w:outlineLvl w:val="1"/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</w:pPr>
          </w:p>
          <w:p w:rsidR="00EA5AF0" w:rsidRPr="00F67272" w:rsidRDefault="00EA5AF0" w:rsidP="00EA5AF0">
            <w:pPr>
              <w:tabs>
                <w:tab w:val="left" w:pos="5"/>
              </w:tabs>
              <w:jc w:val="both"/>
              <w:outlineLvl w:val="1"/>
              <w:rPr>
                <w:rStyle w:val="normaltextrun"/>
                <w:rFonts w:ascii="Sylfaen" w:hAnsi="Sylfaen" w:cs="Arial"/>
                <w:b/>
                <w:sz w:val="24"/>
                <w:szCs w:val="24"/>
                <w:lang w:val="hy-AM"/>
              </w:rPr>
            </w:pPr>
          </w:p>
          <w:p w:rsidR="0089269B" w:rsidRPr="00F67272" w:rsidRDefault="00DE38E1" w:rsidP="00EA5AF0">
            <w:pPr>
              <w:tabs>
                <w:tab w:val="left" w:pos="5"/>
              </w:tabs>
              <w:jc w:val="both"/>
              <w:outlineLvl w:val="1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ՀՀ էներգետիկ ենթակառուցվածքների և բնական պաշարների նախարարություն</w:t>
            </w:r>
          </w:p>
          <w:p w:rsidR="0095792A" w:rsidRPr="00F67272" w:rsidRDefault="00CB3616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hy-AM"/>
              </w:rPr>
            </w:pPr>
            <w:r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ք. Երևան, </w:t>
            </w:r>
            <w:r w:rsidR="0095792A" w:rsidRPr="00F67272">
              <w:rPr>
                <w:rFonts w:ascii="Sylfaen" w:hAnsi="Sylfaen"/>
                <w:b w:val="0"/>
                <w:szCs w:val="24"/>
                <w:lang w:val="hy-AM"/>
              </w:rPr>
              <w:t>ՀՀ</w:t>
            </w:r>
            <w:r w:rsidR="00EA5AF0"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b w:val="0"/>
                <w:szCs w:val="24"/>
                <w:lang w:val="hy-AM"/>
              </w:rPr>
              <w:t xml:space="preserve">Հանրապետության հրապարակ, </w:t>
            </w:r>
          </w:p>
          <w:p w:rsidR="00DE38E1" w:rsidRPr="00F67272" w:rsidRDefault="00CB3616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hy-AM"/>
              </w:rPr>
            </w:pP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Կառավարական տուն 3</w:t>
            </w:r>
          </w:p>
          <w:p w:rsidR="0089269B" w:rsidRPr="00F67272" w:rsidRDefault="0089269B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szCs w:val="24"/>
                <w:lang w:val="hy-AM"/>
              </w:rPr>
            </w:pPr>
          </w:p>
          <w:p w:rsidR="00AB75A7" w:rsidRPr="00F67272" w:rsidRDefault="00DE38E1" w:rsidP="00EA5AF0">
            <w:pPr>
              <w:pStyle w:val="Heading2"/>
              <w:tabs>
                <w:tab w:val="left" w:pos="5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hy-AM"/>
              </w:rPr>
            </w:pPr>
            <w:r w:rsidRPr="00F67272">
              <w:rPr>
                <w:rFonts w:ascii="Sylfaen" w:hAnsi="Sylfaen"/>
                <w:szCs w:val="24"/>
                <w:lang w:val="hy-AM"/>
              </w:rPr>
              <w:t xml:space="preserve">Նախարար </w:t>
            </w:r>
            <w:r w:rsidR="00EA5AF0" w:rsidRPr="00F67272">
              <w:rPr>
                <w:rStyle w:val="normaltextrun"/>
                <w:rFonts w:ascii="Sylfaen" w:hAnsi="Sylfaen"/>
                <w:szCs w:val="24"/>
                <w:lang w:val="hy-AM"/>
              </w:rPr>
              <w:t xml:space="preserve">_______________ </w:t>
            </w:r>
            <w:r w:rsidRPr="00F67272">
              <w:rPr>
                <w:rStyle w:val="normaltextrun"/>
                <w:rFonts w:ascii="Sylfaen" w:eastAsiaTheme="minorHAnsi" w:hAnsi="Sylfaen" w:cs="Arial"/>
                <w:bCs w:val="0"/>
                <w:szCs w:val="24"/>
                <w:lang w:val="hy-AM"/>
              </w:rPr>
              <w:t>Աշոտ Մանուկյան</w:t>
            </w:r>
          </w:p>
        </w:tc>
        <w:tc>
          <w:tcPr>
            <w:tcW w:w="5386" w:type="dxa"/>
          </w:tcPr>
          <w:p w:rsidR="00CF7976" w:rsidRPr="00F67272" w:rsidRDefault="00CF7976" w:rsidP="00A061F1">
            <w:pPr>
              <w:pStyle w:val="Heading1"/>
              <w:tabs>
                <w:tab w:val="left" w:pos="0"/>
              </w:tabs>
              <w:spacing w:after="0" w:line="240" w:lineRule="auto"/>
              <w:outlineLvl w:val="0"/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MEMORANDUM OF UNDERSTANDING</w:t>
            </w:r>
          </w:p>
          <w:p w:rsidR="00BA1A6D" w:rsidRPr="00F67272" w:rsidRDefault="00BA1A6D" w:rsidP="00EA5AF0">
            <w:pPr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970FDE" w:rsidRPr="00F67272" w:rsidRDefault="004404A8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 xml:space="preserve">________________ </w:t>
            </w:r>
            <w:r w:rsidR="00BA1A6D" w:rsidRPr="00F67272">
              <w:rPr>
                <w:rFonts w:ascii="Sylfaen" w:hAnsi="Sylfaen"/>
                <w:sz w:val="24"/>
                <w:szCs w:val="24"/>
                <w:lang w:val="hy-AM"/>
              </w:rPr>
              <w:t>2017</w:t>
            </w:r>
          </w:p>
          <w:p w:rsidR="0089269B" w:rsidRPr="00F67272" w:rsidRDefault="0089269B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A56A32" w:rsidRPr="00F67272" w:rsidRDefault="00A56A32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 w:cs="Calibri"/>
                <w:b w:val="0"/>
                <w:szCs w:val="24"/>
                <w:lang w:val="en-US"/>
              </w:rPr>
            </w:pPr>
            <w:r w:rsidRPr="00F67272">
              <w:rPr>
                <w:rFonts w:ascii="Sylfaen" w:hAnsi="Sylfaen" w:cs="Calibri"/>
                <w:b w:val="0"/>
                <w:szCs w:val="24"/>
                <w:lang w:val="hy-AM"/>
              </w:rPr>
              <w:t>“</w:t>
            </w:r>
            <w:r w:rsidRPr="00F67272">
              <w:rPr>
                <w:rFonts w:ascii="Sylfaen" w:hAnsi="Sylfaen" w:cs="Calibri"/>
                <w:szCs w:val="24"/>
                <w:lang w:val="hy-AM"/>
              </w:rPr>
              <w:t>C</w:t>
            </w:r>
            <w:proofErr w:type="spellStart"/>
            <w:r w:rsidR="00D87668" w:rsidRPr="00F67272">
              <w:rPr>
                <w:rFonts w:ascii="Sylfaen" w:hAnsi="Sylfaen" w:cs="Calibri"/>
                <w:szCs w:val="24"/>
                <w:lang w:val="en-US"/>
              </w:rPr>
              <w:t>ontourGlobal</w:t>
            </w:r>
            <w:proofErr w:type="spellEnd"/>
            <w:r w:rsidR="00D87668" w:rsidRPr="00F67272">
              <w:rPr>
                <w:rFonts w:ascii="Sylfaen" w:hAnsi="Sylfaen" w:cs="Calibri"/>
                <w:szCs w:val="24"/>
                <w:lang w:val="en-US"/>
              </w:rPr>
              <w:t xml:space="preserve"> Hydro Cascade”</w:t>
            </w:r>
            <w:r w:rsidRPr="00F67272">
              <w:rPr>
                <w:rFonts w:ascii="Sylfaen" w:hAnsi="Sylfaen" w:cs="Calibri"/>
                <w:szCs w:val="24"/>
                <w:lang w:val="hy-AM"/>
              </w:rPr>
              <w:t xml:space="preserve"> CJSC</w:t>
            </w:r>
            <w:r w:rsidR="00577E4F" w:rsidRPr="00F67272">
              <w:rPr>
                <w:rFonts w:ascii="Sylfaen" w:hAnsi="Sylfaen" w:cs="Calibri"/>
                <w:b w:val="0"/>
                <w:szCs w:val="24"/>
                <w:lang w:val="hy-AM"/>
              </w:rPr>
              <w:t xml:space="preserve"> (</w:t>
            </w:r>
            <w:r w:rsidR="00C011A2" w:rsidRPr="00F67272">
              <w:rPr>
                <w:rFonts w:ascii="Sylfaen" w:hAnsi="Sylfaen" w:cs="Calibri"/>
                <w:b w:val="0"/>
                <w:szCs w:val="24"/>
                <w:lang w:val="en-US"/>
              </w:rPr>
              <w:t xml:space="preserve">hereinafter </w:t>
            </w:r>
            <w:r w:rsidR="00577E4F" w:rsidRPr="00F67272">
              <w:rPr>
                <w:rFonts w:ascii="Sylfaen" w:hAnsi="Sylfaen" w:cs="Calibri"/>
                <w:szCs w:val="24"/>
                <w:lang w:val="hy-AM"/>
              </w:rPr>
              <w:t>Company</w:t>
            </w:r>
            <w:r w:rsidR="00577E4F" w:rsidRPr="00F67272">
              <w:rPr>
                <w:rFonts w:ascii="Sylfaen" w:hAnsi="Sylfaen" w:cs="Calibri"/>
                <w:b w:val="0"/>
                <w:szCs w:val="24"/>
                <w:lang w:val="hy-AM"/>
              </w:rPr>
              <w:t>)</w:t>
            </w:r>
            <w:r w:rsidRPr="00F67272">
              <w:rPr>
                <w:rFonts w:ascii="Sylfaen" w:hAnsi="Sylfaen" w:cs="Calibri"/>
                <w:b w:val="0"/>
                <w:szCs w:val="24"/>
                <w:lang w:val="hy-AM"/>
              </w:rPr>
              <w:t>, having its seat and registere</w:t>
            </w:r>
            <w:r w:rsidRPr="00F67272">
              <w:rPr>
                <w:rFonts w:ascii="Sylfaen" w:hAnsi="Sylfaen" w:cs="Calibri"/>
                <w:b w:val="0"/>
                <w:szCs w:val="24"/>
              </w:rPr>
              <w:t xml:space="preserve">d office </w:t>
            </w:r>
            <w:r w:rsidRPr="00F67272">
              <w:rPr>
                <w:rFonts w:ascii="Sylfaen" w:hAnsi="Sylfaen" w:cs="Calibri"/>
                <w:b w:val="0"/>
                <w:szCs w:val="24"/>
                <w:lang w:val="en-US"/>
              </w:rPr>
              <w:t>at</w:t>
            </w:r>
            <w:r w:rsidRPr="00F67272">
              <w:rPr>
                <w:rFonts w:ascii="Sylfaen" w:hAnsi="Sylfaen" w:cs="Calibri"/>
                <w:b w:val="0"/>
                <w:szCs w:val="24"/>
              </w:rPr>
              <w:t xml:space="preserve"> Yerevan city,</w:t>
            </w:r>
            <w:r w:rsidRPr="00F67272">
              <w:rPr>
                <w:rFonts w:ascii="Sylfaen" w:hAnsi="Sylfaen" w:cs="Calibri"/>
                <w:b w:val="0"/>
                <w:szCs w:val="24"/>
                <w:lang w:val="en-US"/>
              </w:rPr>
              <w:t xml:space="preserve"> </w:t>
            </w:r>
            <w:r w:rsidRPr="00F67272">
              <w:rPr>
                <w:rFonts w:ascii="Sylfaen" w:hAnsi="Sylfaen" w:cs="Calibri"/>
                <w:b w:val="0"/>
                <w:szCs w:val="24"/>
              </w:rPr>
              <w:t xml:space="preserve">2/2 </w:t>
            </w:r>
            <w:proofErr w:type="spellStart"/>
            <w:r w:rsidRPr="00F67272">
              <w:rPr>
                <w:rFonts w:ascii="Sylfaen" w:hAnsi="Sylfaen" w:cs="Calibri"/>
                <w:b w:val="0"/>
                <w:szCs w:val="24"/>
              </w:rPr>
              <w:t>Melik</w:t>
            </w:r>
            <w:proofErr w:type="spellEnd"/>
            <w:r w:rsidRPr="00F67272">
              <w:rPr>
                <w:rFonts w:ascii="Sylfaen" w:hAnsi="Sylfaen" w:cs="Calibri"/>
                <w:b w:val="0"/>
                <w:szCs w:val="24"/>
              </w:rPr>
              <w:t xml:space="preserve"> </w:t>
            </w:r>
            <w:proofErr w:type="spellStart"/>
            <w:r w:rsidRPr="00F67272">
              <w:rPr>
                <w:rFonts w:ascii="Sylfaen" w:hAnsi="Sylfaen" w:cs="Calibri"/>
                <w:b w:val="0"/>
                <w:szCs w:val="24"/>
              </w:rPr>
              <w:t>Adamyan</w:t>
            </w:r>
            <w:proofErr w:type="spellEnd"/>
            <w:r w:rsidRPr="00F67272">
              <w:rPr>
                <w:rFonts w:ascii="Sylfaen" w:hAnsi="Sylfaen" w:cs="Calibri"/>
                <w:b w:val="0"/>
                <w:szCs w:val="24"/>
              </w:rPr>
              <w:t xml:space="preserve"> St., represented by </w:t>
            </w:r>
            <w:r w:rsidRPr="00F67272">
              <w:rPr>
                <w:rFonts w:ascii="Sylfaen" w:hAnsi="Sylfaen" w:cs="Calibri"/>
                <w:szCs w:val="24"/>
                <w:lang w:val="en-US"/>
              </w:rPr>
              <w:t>Ara Hovsepyan</w:t>
            </w:r>
            <w:r w:rsidRPr="00F67272">
              <w:rPr>
                <w:rFonts w:ascii="Sylfaen" w:hAnsi="Sylfaen" w:cs="Calibri"/>
                <w:b w:val="0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 w:cs="Calibri"/>
                <w:b w:val="0"/>
                <w:szCs w:val="24"/>
                <w:lang w:val="en-US"/>
              </w:rPr>
              <w:t>in his capacity of Director, and</w:t>
            </w:r>
          </w:p>
          <w:p w:rsidR="00BA1A6D" w:rsidRPr="00F67272" w:rsidRDefault="00BA1A6D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outlineLvl w:val="1"/>
              <w:rPr>
                <w:rFonts w:ascii="Sylfaen" w:hAnsi="Sylfaen"/>
                <w:szCs w:val="24"/>
                <w:lang w:val="en-US"/>
              </w:rPr>
            </w:pPr>
          </w:p>
          <w:p w:rsidR="00EA5AF0" w:rsidRPr="00F67272" w:rsidRDefault="00FC43EA" w:rsidP="00F67272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  <w:lang w:val="en-GB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>Ministry</w:t>
            </w:r>
            <w:r w:rsidR="009A6D3B" w:rsidRPr="00F6727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of Energy Infrastructures and</w:t>
            </w:r>
            <w:r w:rsidR="00F6727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Natural Resources</w:t>
            </w:r>
            <w:r w:rsidR="003D65F4" w:rsidRPr="00F67272">
              <w:rPr>
                <w:rFonts w:ascii="Sylfaen" w:hAnsi="Sylfaen"/>
                <w:b/>
                <w:sz w:val="24"/>
                <w:szCs w:val="24"/>
              </w:rPr>
              <w:t xml:space="preserve"> of the Republic of Armenia</w:t>
            </w:r>
            <w:r w:rsidR="003D65F4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06938" w:rsidRPr="00F67272">
              <w:rPr>
                <w:rFonts w:ascii="Sylfaen" w:hAnsi="Sylfaen"/>
                <w:sz w:val="24"/>
                <w:szCs w:val="24"/>
              </w:rPr>
              <w:t>(</w:t>
            </w:r>
            <w:r w:rsidR="00C011A2" w:rsidRPr="00F67272">
              <w:rPr>
                <w:rFonts w:ascii="Sylfaen" w:hAnsi="Sylfaen"/>
                <w:sz w:val="24"/>
                <w:szCs w:val="24"/>
              </w:rPr>
              <w:t xml:space="preserve">hereinafter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Ministry</w:t>
            </w:r>
            <w:r w:rsidR="00E06938" w:rsidRPr="00F67272">
              <w:rPr>
                <w:rFonts w:ascii="Sylfaen" w:hAnsi="Sylfaen"/>
                <w:sz w:val="24"/>
                <w:szCs w:val="24"/>
              </w:rPr>
              <w:t>)</w:t>
            </w:r>
            <w:r w:rsidR="0092371C" w:rsidRPr="00F67272">
              <w:rPr>
                <w:rFonts w:ascii="Sylfaen" w:hAnsi="Sylfaen"/>
                <w:sz w:val="24"/>
                <w:szCs w:val="24"/>
              </w:rPr>
              <w:t>,</w:t>
            </w:r>
            <w:r w:rsidR="0092371C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92371C" w:rsidRPr="00F67272">
              <w:rPr>
                <w:rFonts w:ascii="Sylfaen" w:hAnsi="Sylfaen"/>
                <w:sz w:val="24"/>
                <w:szCs w:val="24"/>
              </w:rPr>
              <w:t>having its seat and registered office at</w:t>
            </w:r>
            <w:r w:rsidR="00947DA1" w:rsidRPr="00F67272">
              <w:rPr>
                <w:rFonts w:ascii="Sylfaen" w:hAnsi="Sylfaen"/>
                <w:sz w:val="24"/>
                <w:szCs w:val="24"/>
              </w:rPr>
              <w:t xml:space="preserve"> Republic Square, Government House 3, </w:t>
            </w:r>
            <w:r w:rsidR="0092371C" w:rsidRPr="00F67272">
              <w:rPr>
                <w:rFonts w:ascii="Sylfaen" w:hAnsi="Sylfaen"/>
                <w:sz w:val="24"/>
                <w:szCs w:val="24"/>
              </w:rPr>
              <w:t xml:space="preserve">Yerevan, Armenia </w:t>
            </w:r>
            <w:r w:rsidR="001F758C" w:rsidRPr="00F67272">
              <w:rPr>
                <w:rFonts w:ascii="Sylfaen" w:hAnsi="Sylfaen"/>
                <w:sz w:val="24"/>
                <w:szCs w:val="24"/>
              </w:rPr>
              <w:t>represented by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Ashot Manukyan</w:t>
            </w:r>
            <w:r w:rsidR="00EA5AF0" w:rsidRPr="00F67272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>acting based on Protocol Decision No ___ of the Government of the Republic of Armenia </w:t>
            </w:r>
            <w:r w:rsidR="00F67272">
              <w:rPr>
                <w:rFonts w:ascii="Sylfaen" w:hAnsi="Sylfaen"/>
                <w:sz w:val="24"/>
                <w:szCs w:val="24"/>
              </w:rPr>
              <w:t xml:space="preserve">as 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>of __ November 2017</w:t>
            </w:r>
            <w:r w:rsidRPr="00F67272">
              <w:rPr>
                <w:rFonts w:ascii="Sylfaen" w:hAnsi="Sylfaen"/>
                <w:sz w:val="24"/>
                <w:szCs w:val="24"/>
              </w:rPr>
              <w:t>,</w:t>
            </w:r>
          </w:p>
          <w:p w:rsidR="00E3568F" w:rsidRPr="00F67272" w:rsidRDefault="00FC2337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  <w:lang w:val="en-GB"/>
              </w:rPr>
            </w:pPr>
            <w:r w:rsidRPr="00F67272">
              <w:rPr>
                <w:rFonts w:ascii="Sylfaen" w:hAnsi="Sylfaen"/>
                <w:sz w:val="24"/>
                <w:szCs w:val="24"/>
                <w:lang w:val="en-GB"/>
              </w:rPr>
              <w:t>together Parties,</w:t>
            </w:r>
          </w:p>
          <w:p w:rsidR="00E3568F" w:rsidRPr="00F67272" w:rsidRDefault="00E3568F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  <w:lang w:val="en-GB"/>
              </w:rPr>
            </w:pPr>
          </w:p>
          <w:p w:rsidR="001B7216" w:rsidRPr="00F67272" w:rsidRDefault="001B7216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 xml:space="preserve">WHEREAS, acknowledging that production of up to 1.150 </w:t>
            </w:r>
            <w:proofErr w:type="spellStart"/>
            <w:r w:rsidRPr="00F67272">
              <w:rPr>
                <w:rFonts w:ascii="Sylfaen" w:hAnsi="Sylfaen"/>
                <w:sz w:val="24"/>
                <w:szCs w:val="24"/>
              </w:rPr>
              <w:t>GWh</w:t>
            </w:r>
            <w:proofErr w:type="spellEnd"/>
            <w:r w:rsidRPr="00F67272">
              <w:rPr>
                <w:rFonts w:ascii="Sylfaen" w:hAnsi="Sylfaen"/>
                <w:sz w:val="24"/>
                <w:szCs w:val="24"/>
              </w:rPr>
              <w:t xml:space="preserve"> per annum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sz w:val="24"/>
                <w:szCs w:val="24"/>
              </w:rPr>
              <w:t>of electric energy depends on the water level of the reservoirs as determined in each applicable year</w:t>
            </w:r>
            <w:r w:rsidR="00DB741B" w:rsidRPr="00F67272">
              <w:rPr>
                <w:rFonts w:ascii="Sylfaen" w:hAnsi="Sylfaen"/>
                <w:sz w:val="24"/>
                <w:szCs w:val="24"/>
              </w:rPr>
              <w:t xml:space="preserve">, the Parties desire to cooperate in good faith to ensure, subject to applicable laws and regulations, </w:t>
            </w:r>
            <w:r w:rsidR="0091258C" w:rsidRPr="00F67272">
              <w:rPr>
                <w:rFonts w:ascii="Sylfaen" w:hAnsi="Sylfaen"/>
                <w:sz w:val="24"/>
                <w:szCs w:val="24"/>
              </w:rPr>
              <w:t xml:space="preserve">the purchase by </w:t>
            </w:r>
            <w:r w:rsidR="00E509D3" w:rsidRPr="00F67272">
              <w:rPr>
                <w:rFonts w:ascii="Sylfaen" w:hAnsi="Sylfaen"/>
                <w:sz w:val="24"/>
                <w:szCs w:val="24"/>
              </w:rPr>
              <w:t>“Electric Networks of Armenia” CJSC (hereinafter “</w:t>
            </w:r>
            <w:r w:rsidR="0091258C" w:rsidRPr="00F67272">
              <w:rPr>
                <w:rFonts w:ascii="Sylfaen" w:hAnsi="Sylfaen"/>
                <w:sz w:val="24"/>
                <w:szCs w:val="24"/>
              </w:rPr>
              <w:t>ENA</w:t>
            </w:r>
            <w:r w:rsidR="00E509D3" w:rsidRPr="00F67272">
              <w:rPr>
                <w:rFonts w:ascii="Sylfaen" w:hAnsi="Sylfaen"/>
                <w:sz w:val="24"/>
                <w:szCs w:val="24"/>
              </w:rPr>
              <w:t>”)</w:t>
            </w:r>
            <w:r w:rsidR="0091258C" w:rsidRPr="00F67272">
              <w:rPr>
                <w:rFonts w:ascii="Sylfaen" w:hAnsi="Sylfaen"/>
                <w:sz w:val="24"/>
                <w:szCs w:val="24"/>
              </w:rPr>
              <w:t xml:space="preserve"> for the entire duration of the </w:t>
            </w:r>
            <w:r w:rsidR="00E509D3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agreement N 15-16 </w:t>
            </w:r>
            <w:r w:rsidR="00DA60E4" w:rsidRPr="00F67272">
              <w:rPr>
                <w:rFonts w:ascii="Sylfaen" w:hAnsi="Sylfaen" w:cs="Times New Roman"/>
                <w:bCs/>
                <w:sz w:val="24"/>
                <w:szCs w:val="24"/>
              </w:rPr>
              <w:t>executed by and between the Company and</w:t>
            </w:r>
            <w:r w:rsidR="009A6D3B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</w:t>
            </w:r>
            <w:r w:rsidR="00DA60E4" w:rsidRPr="00F67272">
              <w:rPr>
                <w:rFonts w:ascii="Sylfaen" w:hAnsi="Sylfaen" w:cs="Times New Roman"/>
                <w:bCs/>
                <w:sz w:val="24"/>
                <w:szCs w:val="24"/>
              </w:rPr>
              <w:t>“ENA” on July 1</w:t>
            </w:r>
            <w:r w:rsidR="00DA60E4" w:rsidRPr="00F67272">
              <w:rPr>
                <w:rFonts w:ascii="Sylfaen" w:hAnsi="Sylfaen" w:cs="Times New Roman"/>
                <w:bCs/>
                <w:sz w:val="24"/>
                <w:szCs w:val="24"/>
                <w:vertAlign w:val="superscript"/>
              </w:rPr>
              <w:t>st</w:t>
            </w:r>
            <w:r w:rsidR="00DA60E4" w:rsidRPr="00F67272">
              <w:rPr>
                <w:rFonts w:ascii="Sylfaen" w:hAnsi="Sylfaen" w:cs="Times New Roman"/>
                <w:bCs/>
                <w:sz w:val="24"/>
                <w:szCs w:val="24"/>
              </w:rPr>
              <w:t>, 2015</w:t>
            </w:r>
            <w:r w:rsidR="00DA60E4" w:rsidRPr="00F67272">
              <w:rPr>
                <w:rFonts w:ascii="Sylfaen" w:hAnsi="Sylfaen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E509D3" w:rsidRPr="00F67272">
              <w:rPr>
                <w:rFonts w:ascii="Sylfaen" w:hAnsi="Sylfaen" w:cs="Times New Roman"/>
                <w:bCs/>
                <w:sz w:val="24"/>
                <w:szCs w:val="24"/>
              </w:rPr>
              <w:t>on sale and purchase of electric energy (hereinafter the “PPA”)</w:t>
            </w:r>
            <w:r w:rsidR="009A6D3B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</w:t>
            </w:r>
            <w:r w:rsidR="0091258C" w:rsidRPr="00F67272">
              <w:rPr>
                <w:rFonts w:ascii="Sylfaen" w:hAnsi="Sylfaen"/>
                <w:sz w:val="24"/>
                <w:szCs w:val="24"/>
              </w:rPr>
              <w:t xml:space="preserve">of up to 1.150 </w:t>
            </w:r>
            <w:proofErr w:type="spellStart"/>
            <w:r w:rsidR="0091258C" w:rsidRPr="00F67272">
              <w:rPr>
                <w:rFonts w:ascii="Sylfaen" w:hAnsi="Sylfaen"/>
                <w:sz w:val="24"/>
                <w:szCs w:val="24"/>
              </w:rPr>
              <w:t>GWh</w:t>
            </w:r>
            <w:proofErr w:type="spellEnd"/>
            <w:r w:rsidR="0091258C" w:rsidRPr="00F67272">
              <w:rPr>
                <w:rFonts w:ascii="Sylfaen" w:hAnsi="Sylfaen"/>
                <w:sz w:val="24"/>
                <w:szCs w:val="24"/>
              </w:rPr>
              <w:t xml:space="preserve"> per annum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1258C" w:rsidRPr="00F67272">
              <w:rPr>
                <w:rFonts w:ascii="Sylfaen" w:hAnsi="Sylfaen"/>
                <w:sz w:val="24"/>
                <w:szCs w:val="24"/>
              </w:rPr>
              <w:t>of electric energy</w:t>
            </w:r>
            <w:r w:rsidRPr="00F67272">
              <w:rPr>
                <w:rFonts w:ascii="Sylfaen" w:hAnsi="Sylfaen"/>
                <w:sz w:val="24"/>
                <w:szCs w:val="24"/>
              </w:rPr>
              <w:t>.</w:t>
            </w:r>
          </w:p>
          <w:p w:rsidR="00494F0D" w:rsidRPr="00F67272" w:rsidRDefault="00494F0D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E509D3" w:rsidRPr="00F67272" w:rsidRDefault="00E509D3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EA5AF0" w:rsidRPr="00F67272" w:rsidRDefault="00EA5AF0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1341DE" w:rsidRPr="00F67272" w:rsidRDefault="00E3568F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  <w:lang w:val="en-GB"/>
              </w:rPr>
              <w:t>NOW THEREFORE, the Parties hereto agree to</w:t>
            </w:r>
            <w:r w:rsidR="009A6D3B" w:rsidRPr="00F67272">
              <w:rPr>
                <w:rFonts w:ascii="Sylfaen" w:hAnsi="Sylfaen"/>
                <w:sz w:val="24"/>
                <w:szCs w:val="24"/>
                <w:lang w:val="en-GB"/>
              </w:rPr>
              <w:t xml:space="preserve"> </w:t>
            </w:r>
            <w:r w:rsidR="001341DE" w:rsidRPr="00F67272">
              <w:rPr>
                <w:rFonts w:ascii="Sylfaen" w:hAnsi="Sylfaen"/>
                <w:sz w:val="24"/>
                <w:szCs w:val="24"/>
                <w:lang w:val="en-GB"/>
              </w:rPr>
              <w:t xml:space="preserve">enter into this </w:t>
            </w:r>
            <w:r w:rsidR="001341DE" w:rsidRPr="00F67272">
              <w:rPr>
                <w:rFonts w:ascii="Sylfaen" w:hAnsi="Sylfaen"/>
                <w:b/>
                <w:sz w:val="24"/>
                <w:szCs w:val="24"/>
                <w:lang w:val="en-GB"/>
              </w:rPr>
              <w:t xml:space="preserve">Memorandum of </w:t>
            </w:r>
            <w:r w:rsidR="001341DE" w:rsidRPr="00F67272">
              <w:rPr>
                <w:rFonts w:ascii="Sylfaen" w:hAnsi="Sylfaen"/>
                <w:b/>
                <w:sz w:val="24"/>
                <w:szCs w:val="24"/>
              </w:rPr>
              <w:t>U</w:t>
            </w:r>
            <w:proofErr w:type="spellStart"/>
            <w:r w:rsidR="001341DE" w:rsidRPr="00F67272">
              <w:rPr>
                <w:rFonts w:ascii="Sylfaen" w:hAnsi="Sylfaen"/>
                <w:b/>
                <w:sz w:val="24"/>
                <w:szCs w:val="24"/>
                <w:lang w:val="en-GB"/>
              </w:rPr>
              <w:t>nderstanding</w:t>
            </w:r>
            <w:proofErr w:type="spellEnd"/>
            <w:r w:rsidR="001341DE" w:rsidRPr="00F67272">
              <w:rPr>
                <w:rFonts w:ascii="Sylfaen" w:hAnsi="Sylfaen"/>
                <w:b/>
                <w:sz w:val="24"/>
                <w:szCs w:val="24"/>
                <w:lang w:val="en-GB"/>
              </w:rPr>
              <w:t xml:space="preserve"> </w:t>
            </w:r>
            <w:r w:rsidR="001341DE" w:rsidRPr="00F67272">
              <w:rPr>
                <w:rFonts w:ascii="Sylfaen" w:hAnsi="Sylfaen"/>
                <w:sz w:val="24"/>
                <w:szCs w:val="24"/>
                <w:lang w:val="en-GB"/>
              </w:rPr>
              <w:t xml:space="preserve">(hereinafter </w:t>
            </w:r>
            <w:r w:rsidR="001341DE" w:rsidRPr="00F67272">
              <w:rPr>
                <w:rFonts w:ascii="Sylfaen" w:hAnsi="Sylfaen"/>
                <w:b/>
                <w:sz w:val="24"/>
                <w:szCs w:val="24"/>
                <w:lang w:val="en-GB"/>
              </w:rPr>
              <w:t>M</w:t>
            </w:r>
            <w:r w:rsidR="00810B19" w:rsidRPr="00F67272">
              <w:rPr>
                <w:rFonts w:ascii="Sylfaen" w:hAnsi="Sylfaen"/>
                <w:b/>
                <w:sz w:val="24"/>
                <w:szCs w:val="24"/>
                <w:lang w:val="en-GB"/>
              </w:rPr>
              <w:t>oU</w:t>
            </w:r>
            <w:r w:rsidR="001341DE" w:rsidRPr="00F67272">
              <w:rPr>
                <w:rFonts w:ascii="Sylfaen" w:hAnsi="Sylfaen"/>
                <w:sz w:val="24"/>
                <w:szCs w:val="24"/>
                <w:lang w:val="en-GB"/>
              </w:rPr>
              <w:t>) as follows:</w:t>
            </w:r>
          </w:p>
          <w:p w:rsidR="001341DE" w:rsidRPr="00F67272" w:rsidRDefault="001341DE" w:rsidP="00EA5AF0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49502B" w:rsidRPr="00F67272" w:rsidRDefault="0049502B" w:rsidP="00EA5AF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>Main principles of cooperation</w:t>
            </w:r>
          </w:p>
          <w:p w:rsidR="0089269B" w:rsidRPr="00F67272" w:rsidRDefault="0089269B" w:rsidP="00EA5AF0">
            <w:pPr>
              <w:pStyle w:val="ListParagraph"/>
              <w:tabs>
                <w:tab w:val="left" w:pos="0"/>
              </w:tabs>
              <w:ind w:left="0"/>
              <w:rPr>
                <w:rFonts w:ascii="Sylfaen" w:hAnsi="Sylfaen"/>
                <w:b/>
                <w:sz w:val="24"/>
                <w:szCs w:val="24"/>
              </w:rPr>
            </w:pPr>
          </w:p>
          <w:p w:rsidR="00CF7976" w:rsidRPr="00F67272" w:rsidRDefault="0049502B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1.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="000D4472" w:rsidRPr="00F67272">
              <w:rPr>
                <w:rFonts w:ascii="Sylfaen" w:hAnsi="Sylfaen"/>
                <w:sz w:val="24"/>
                <w:szCs w:val="24"/>
              </w:rPr>
              <w:t xml:space="preserve">For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0D4472" w:rsidRPr="00F67272">
              <w:rPr>
                <w:rFonts w:ascii="Sylfaen" w:hAnsi="Sylfaen"/>
                <w:sz w:val="24"/>
                <w:szCs w:val="24"/>
              </w:rPr>
              <w:t>purpose of</w:t>
            </w:r>
            <w:r w:rsidR="00FC2337" w:rsidRPr="00F67272">
              <w:rPr>
                <w:rFonts w:ascii="Sylfaen" w:hAnsi="Sylfaen"/>
                <w:sz w:val="24"/>
                <w:szCs w:val="24"/>
              </w:rPr>
              <w:t xml:space="preserve"> continuing and </w:t>
            </w:r>
            <w:r w:rsidR="000D4472" w:rsidRPr="00F67272">
              <w:rPr>
                <w:rFonts w:ascii="Sylfaen" w:hAnsi="Sylfaen"/>
                <w:sz w:val="24"/>
                <w:szCs w:val="24"/>
              </w:rPr>
              <w:t xml:space="preserve">enhancing the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good faith </w:t>
            </w:r>
            <w:r w:rsidR="000D4472" w:rsidRPr="00F67272">
              <w:rPr>
                <w:rFonts w:ascii="Sylfaen" w:hAnsi="Sylfaen"/>
                <w:sz w:val="24"/>
                <w:szCs w:val="24"/>
              </w:rPr>
              <w:t>cooperation between the Pa</w:t>
            </w:r>
            <w:r w:rsidRPr="00F67272">
              <w:rPr>
                <w:rFonts w:ascii="Sylfaen" w:hAnsi="Sylfaen"/>
                <w:sz w:val="24"/>
                <w:szCs w:val="24"/>
              </w:rPr>
              <w:t>rties</w:t>
            </w:r>
            <w:r w:rsidR="006661E0" w:rsidRPr="00F67272">
              <w:rPr>
                <w:rFonts w:ascii="Sylfaen" w:hAnsi="Sylfaen"/>
                <w:sz w:val="24"/>
                <w:szCs w:val="24"/>
              </w:rPr>
              <w:t xml:space="preserve"> and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>in accordance with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9F4B8C" w:rsidRPr="00F67272">
              <w:rPr>
                <w:rFonts w:ascii="Sylfaen" w:hAnsi="Sylfaen"/>
                <w:sz w:val="24"/>
                <w:szCs w:val="24"/>
              </w:rPr>
              <w:t>i</w:t>
            </w:r>
            <w:proofErr w:type="spellEnd"/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) </w:t>
            </w:r>
            <w:r w:rsidR="006661E0" w:rsidRPr="00F67272">
              <w:rPr>
                <w:rFonts w:ascii="Sylfaen" w:hAnsi="Sylfaen"/>
                <w:sz w:val="24"/>
                <w:szCs w:val="24"/>
              </w:rPr>
              <w:t xml:space="preserve">the law of the Republic of Armenia “On energy system”,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>(ii)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73C1D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A10B0A" w:rsidRPr="00F67272">
              <w:rPr>
                <w:rFonts w:ascii="Sylfaen" w:hAnsi="Sylfaen" w:cs="Times New Roman"/>
                <w:bCs/>
                <w:sz w:val="24"/>
                <w:szCs w:val="24"/>
              </w:rPr>
              <w:t>a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sset purchase agreement </w:t>
            </w:r>
            <w:r w:rsidR="002C6B0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(hereinafter 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>the “</w:t>
            </w:r>
            <w:r w:rsidR="002C6B0D" w:rsidRPr="00F67272">
              <w:rPr>
                <w:rFonts w:ascii="Sylfaen" w:hAnsi="Sylfaen" w:cs="Times New Roman"/>
                <w:bCs/>
                <w:sz w:val="24"/>
                <w:szCs w:val="24"/>
              </w:rPr>
              <w:t>APA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>”</w:t>
            </w:r>
            <w:r w:rsidR="002C6B0D" w:rsidRPr="00F67272">
              <w:rPr>
                <w:rFonts w:ascii="Sylfaen" w:hAnsi="Sylfaen" w:cs="Times New Roman"/>
                <w:bCs/>
                <w:sz w:val="24"/>
                <w:szCs w:val="24"/>
              </w:rPr>
              <w:t>)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executed by and 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among 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>the Republic of Armenia, the Company, “</w:t>
            </w:r>
            <w:proofErr w:type="spellStart"/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>ContourGlobal</w:t>
            </w:r>
            <w:proofErr w:type="spellEnd"/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Terra Holdings” SARL and “CG Solutions Global Holding Company” LLC on June 8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  <w:vertAlign w:val="superscript"/>
              </w:rPr>
              <w:t>th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>, 2015,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>(iii)</w:t>
            </w:r>
            <w:r w:rsidR="009A6D3B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>“</w:t>
            </w:r>
            <w:r w:rsidR="00016742" w:rsidRPr="00F67272">
              <w:rPr>
                <w:rFonts w:ascii="Sylfaen" w:hAnsi="Sylfaen" w:cs="Times New Roman"/>
                <w:bCs/>
                <w:sz w:val="24"/>
                <w:szCs w:val="24"/>
              </w:rPr>
              <w:t>PPA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>”</w:t>
            </w:r>
            <w:r w:rsidR="003037AB" w:rsidRPr="00F67272">
              <w:rPr>
                <w:rFonts w:ascii="Sylfaen" w:hAnsi="Sylfaen" w:cs="Times New Roman"/>
                <w:bCs/>
                <w:sz w:val="24"/>
                <w:szCs w:val="24"/>
              </w:rPr>
              <w:t>, 2015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, </w:t>
            </w:r>
            <w:r w:rsidR="009F4B8C" w:rsidRPr="00F67272">
              <w:rPr>
                <w:rFonts w:ascii="Sylfaen" w:hAnsi="Sylfaen" w:cs="Times New Roman"/>
                <w:bCs/>
                <w:sz w:val="24"/>
                <w:szCs w:val="24"/>
              </w:rPr>
              <w:lastRenderedPageBreak/>
              <w:t xml:space="preserve">(iv) </w:t>
            </w:r>
            <w:r w:rsidR="005C1596" w:rsidRPr="00F67272">
              <w:rPr>
                <w:rFonts w:ascii="Sylfaen" w:hAnsi="Sylfaen" w:cs="Times New Roman"/>
                <w:bCs/>
                <w:sz w:val="24"/>
                <w:szCs w:val="24"/>
              </w:rPr>
              <w:t>the energy producti</w:t>
            </w:r>
            <w:r w:rsidR="00A10B0A" w:rsidRPr="00F67272">
              <w:rPr>
                <w:rFonts w:ascii="Sylfaen" w:hAnsi="Sylfaen" w:cs="Times New Roman"/>
                <w:bCs/>
                <w:sz w:val="24"/>
                <w:szCs w:val="24"/>
              </w:rPr>
              <w:t>o</w:t>
            </w:r>
            <w:r w:rsidR="005C1596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n license </w:t>
            </w:r>
            <w:r w:rsidR="005C1596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N 0576 issued </w:t>
            </w:r>
            <w:r w:rsidR="00A10B0A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to the Company </w:t>
            </w:r>
            <w:r w:rsidR="00E7191E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>by PSRC</w:t>
            </w:r>
            <w:r w:rsidR="009F4B8C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 </w:t>
            </w:r>
            <w:r w:rsidR="005C1596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on </w:t>
            </w:r>
            <w:r w:rsidR="0062541E" w:rsidRPr="00F67272">
              <w:rPr>
                <w:rFonts w:ascii="Sylfaen" w:hAnsi="Sylfaen" w:cs="Sylfaen"/>
                <w:snapToGrid w:val="0"/>
                <w:sz w:val="24"/>
                <w:szCs w:val="24"/>
              </w:rPr>
              <w:t>June 17</w:t>
            </w:r>
            <w:r w:rsidR="0062541E" w:rsidRPr="00F67272">
              <w:rPr>
                <w:rFonts w:ascii="Sylfaen" w:hAnsi="Sylfaen" w:cs="Sylfaen"/>
                <w:snapToGrid w:val="0"/>
                <w:sz w:val="24"/>
                <w:szCs w:val="24"/>
                <w:vertAlign w:val="superscript"/>
              </w:rPr>
              <w:t>th</w:t>
            </w:r>
            <w:r w:rsidR="0062541E" w:rsidRPr="00F67272">
              <w:rPr>
                <w:rFonts w:ascii="Sylfaen" w:hAnsi="Sylfaen" w:cs="Sylfaen"/>
                <w:snapToGrid w:val="0"/>
                <w:sz w:val="24"/>
                <w:szCs w:val="24"/>
              </w:rPr>
              <w:t xml:space="preserve">, </w:t>
            </w:r>
            <w:r w:rsidR="005C1596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>2015</w:t>
            </w:r>
            <w:r w:rsidR="009F4B8C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 and (v) the letter</w:t>
            </w:r>
            <w:r w:rsidR="00E87088" w:rsidRPr="00F67272">
              <w:rPr>
                <w:rFonts w:ascii="Sylfaen" w:hAnsi="Sylfaen" w:cs="Sylfaen"/>
                <w:snapToGrid w:val="0"/>
                <w:sz w:val="24"/>
                <w:szCs w:val="24"/>
                <w:lang w:val="hy-AM"/>
              </w:rPr>
              <w:t xml:space="preserve"> </w:t>
            </w:r>
            <w:r w:rsidR="00E87088" w:rsidRPr="00F67272">
              <w:rPr>
                <w:rFonts w:ascii="Sylfaen" w:hAnsi="Sylfaen" w:cs="Sylfaen"/>
                <w:snapToGrid w:val="0"/>
                <w:sz w:val="24"/>
                <w:szCs w:val="24"/>
              </w:rPr>
              <w:t>N</w:t>
            </w:r>
            <w:r w:rsidR="007F080A" w:rsidRPr="00F67272">
              <w:rPr>
                <w:rFonts w:ascii="Sylfaen" w:hAnsi="Sylfaen"/>
                <w:sz w:val="24"/>
                <w:szCs w:val="24"/>
                <w:lang w:val="hy-AM"/>
              </w:rPr>
              <w:t>1/22.3928-</w:t>
            </w:r>
            <w:r w:rsidR="00E87088" w:rsidRPr="00F67272">
              <w:rPr>
                <w:rFonts w:ascii="Sylfaen" w:hAnsi="Sylfaen"/>
                <w:sz w:val="24"/>
                <w:szCs w:val="24"/>
                <w:lang w:val="hy-AM"/>
              </w:rPr>
              <w:t>17</w:t>
            </w:r>
            <w:r w:rsidR="009F4B8C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 xml:space="preserve">, dated </w:t>
            </w:r>
            <w:r w:rsidR="00E87088" w:rsidRPr="00F67272">
              <w:rPr>
                <w:rFonts w:ascii="Sylfaen" w:hAnsi="Sylfaen" w:cs="Sylfaen"/>
                <w:snapToGrid w:val="0"/>
                <w:sz w:val="24"/>
                <w:szCs w:val="24"/>
                <w:lang w:val="hy-AM"/>
              </w:rPr>
              <w:t>14.07.2017</w:t>
            </w:r>
            <w:r w:rsidR="009F4B8C" w:rsidRPr="00F67272">
              <w:rPr>
                <w:rFonts w:ascii="Sylfaen" w:hAnsi="Sylfaen" w:cs="Sylfaen"/>
                <w:snapToGrid w:val="0"/>
                <w:sz w:val="24"/>
                <w:szCs w:val="24"/>
                <w:lang w:val="af-ZA"/>
              </w:rPr>
              <w:t>, between the Ministry and the Company</w:t>
            </w:r>
            <w:r w:rsidR="00273C1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, </w:t>
            </w:r>
            <w:r w:rsidR="00B026E5" w:rsidRPr="00F67272">
              <w:rPr>
                <w:rFonts w:ascii="Sylfaen" w:hAnsi="Sylfaen"/>
                <w:sz w:val="24"/>
                <w:szCs w:val="24"/>
              </w:rPr>
              <w:t xml:space="preserve">the Parties </w:t>
            </w:r>
            <w:r w:rsidRPr="00F67272">
              <w:rPr>
                <w:rFonts w:ascii="Sylfaen" w:hAnsi="Sylfaen"/>
                <w:sz w:val="24"/>
                <w:szCs w:val="24"/>
              </w:rPr>
              <w:t>agree</w:t>
            </w:r>
            <w:r w:rsidR="00E06938" w:rsidRPr="00F6727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F67272">
              <w:rPr>
                <w:rFonts w:ascii="Sylfaen" w:hAnsi="Sylfaen"/>
                <w:sz w:val="24"/>
                <w:szCs w:val="24"/>
              </w:rPr>
              <w:t>t</w:t>
            </w:r>
            <w:r w:rsidR="00CF7976" w:rsidRPr="00F67272">
              <w:rPr>
                <w:rFonts w:ascii="Sylfaen" w:hAnsi="Sylfaen"/>
                <w:sz w:val="24"/>
                <w:szCs w:val="24"/>
              </w:rPr>
              <w:t xml:space="preserve">o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set forth </w:t>
            </w:r>
            <w:r w:rsidR="00CF7976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273C1D" w:rsidRPr="00F67272">
              <w:rPr>
                <w:rFonts w:ascii="Sylfaen" w:hAnsi="Sylfaen"/>
                <w:sz w:val="24"/>
                <w:szCs w:val="24"/>
              </w:rPr>
              <w:t xml:space="preserve">mutual </w:t>
            </w:r>
            <w:r w:rsidR="00FC2337" w:rsidRPr="00F67272">
              <w:rPr>
                <w:rFonts w:ascii="Sylfaen" w:hAnsi="Sylfaen"/>
                <w:sz w:val="24"/>
                <w:szCs w:val="24"/>
              </w:rPr>
              <w:t xml:space="preserve">rights and </w:t>
            </w:r>
            <w:r w:rsidR="00CF7976" w:rsidRPr="00F67272">
              <w:rPr>
                <w:rFonts w:ascii="Sylfaen" w:hAnsi="Sylfaen"/>
                <w:sz w:val="24"/>
                <w:szCs w:val="24"/>
              </w:rPr>
              <w:t xml:space="preserve">responsibilities of the Company and </w:t>
            </w:r>
            <w:r w:rsidR="00126329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947DA1" w:rsidRPr="00F67272">
              <w:rPr>
                <w:rFonts w:ascii="Sylfaen" w:hAnsi="Sylfaen"/>
                <w:sz w:val="24"/>
                <w:szCs w:val="24"/>
              </w:rPr>
              <w:t>Ministry</w:t>
            </w:r>
            <w:r w:rsidR="00126329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in connection </w:t>
            </w:r>
            <w:r w:rsidR="00FC2337" w:rsidRPr="00F67272">
              <w:rPr>
                <w:rFonts w:ascii="Sylfaen" w:hAnsi="Sylfaen"/>
                <w:sz w:val="24"/>
                <w:szCs w:val="24"/>
              </w:rPr>
              <w:t xml:space="preserve">with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FC2337" w:rsidRPr="00F67272">
              <w:rPr>
                <w:rFonts w:ascii="Sylfaen" w:hAnsi="Sylfaen"/>
                <w:sz w:val="24"/>
                <w:szCs w:val="24"/>
              </w:rPr>
              <w:t>annual energy production quotas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>under the PPA</w:t>
            </w:r>
            <w:r w:rsidR="000206DC" w:rsidRPr="00F67272">
              <w:rPr>
                <w:rFonts w:ascii="Sylfaen" w:hAnsi="Sylfaen"/>
                <w:sz w:val="24"/>
                <w:szCs w:val="24"/>
              </w:rPr>
              <w:t xml:space="preserve">: </w:t>
            </w:r>
          </w:p>
          <w:p w:rsidR="00577E4F" w:rsidRPr="00F67272" w:rsidRDefault="00577E4F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D91796" w:rsidRPr="00F67272" w:rsidRDefault="00D91796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D91796" w:rsidRPr="00F67272" w:rsidRDefault="00D91796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2B1743" w:rsidRPr="00F67272" w:rsidRDefault="002B1743" w:rsidP="00EA5AF0">
            <w:pPr>
              <w:tabs>
                <w:tab w:val="left" w:pos="0"/>
              </w:tabs>
              <w:rPr>
                <w:rFonts w:ascii="Sylfaen" w:hAnsi="Sylfaen"/>
                <w:sz w:val="24"/>
                <w:szCs w:val="24"/>
              </w:rPr>
            </w:pPr>
          </w:p>
          <w:p w:rsidR="00C40A73" w:rsidRPr="00F67272" w:rsidRDefault="00126329" w:rsidP="00EA5AF0">
            <w:pPr>
              <w:pStyle w:val="ListParagraph"/>
              <w:numPr>
                <w:ilvl w:val="1"/>
                <w:numId w:val="7"/>
              </w:numPr>
              <w:tabs>
                <w:tab w:val="left" w:pos="0"/>
              </w:tabs>
              <w:ind w:left="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947DA1" w:rsidRPr="00F67272">
              <w:rPr>
                <w:rFonts w:ascii="Sylfaen" w:hAnsi="Sylfaen"/>
                <w:sz w:val="24"/>
                <w:szCs w:val="24"/>
              </w:rPr>
              <w:t>Ministry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>hereby</w:t>
            </w:r>
            <w:r w:rsidR="00944D10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7216" w:rsidRPr="00F67272">
              <w:rPr>
                <w:rFonts w:ascii="Sylfaen" w:hAnsi="Sylfaen"/>
                <w:sz w:val="24"/>
                <w:szCs w:val="24"/>
              </w:rPr>
              <w:t>shall use its best efforts to g</w:t>
            </w:r>
            <w:r w:rsidR="00E7191E" w:rsidRPr="00F67272">
              <w:rPr>
                <w:rFonts w:ascii="Sylfaen" w:hAnsi="Sylfaen"/>
                <w:sz w:val="24"/>
                <w:szCs w:val="24"/>
              </w:rPr>
              <w:t xml:space="preserve">uarantee the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>purchase</w:t>
            </w:r>
            <w:r w:rsidR="00E7191E" w:rsidRPr="00F67272">
              <w:rPr>
                <w:rFonts w:ascii="Sylfaen" w:hAnsi="Sylfaen"/>
                <w:sz w:val="24"/>
                <w:szCs w:val="24"/>
              </w:rPr>
              <w:t xml:space="preserve"> by 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>ENA</w:t>
            </w:r>
            <w:r w:rsidR="00E7191E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80A3D" w:rsidRPr="00F67272">
              <w:rPr>
                <w:rFonts w:ascii="Sylfaen" w:hAnsi="Sylfaen"/>
                <w:sz w:val="24"/>
                <w:szCs w:val="24"/>
              </w:rPr>
              <w:t>for the entire duration of the PPA,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7191E" w:rsidRPr="00F67272">
              <w:rPr>
                <w:rFonts w:ascii="Sylfaen" w:hAnsi="Sylfaen"/>
                <w:sz w:val="24"/>
                <w:szCs w:val="24"/>
              </w:rPr>
              <w:t xml:space="preserve">of 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up to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1.150 </w:t>
            </w:r>
            <w:proofErr w:type="spellStart"/>
            <w:r w:rsidR="00DD236F" w:rsidRPr="00F67272">
              <w:rPr>
                <w:rFonts w:ascii="Sylfaen" w:hAnsi="Sylfaen"/>
                <w:sz w:val="24"/>
                <w:szCs w:val="24"/>
              </w:rPr>
              <w:t>GWh</w:t>
            </w:r>
            <w:proofErr w:type="spellEnd"/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 per annum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of </w:t>
            </w:r>
            <w:r w:rsidR="00E7191E" w:rsidRPr="00F67272">
              <w:rPr>
                <w:rFonts w:ascii="Sylfaen" w:hAnsi="Sylfaen"/>
                <w:sz w:val="24"/>
                <w:szCs w:val="24"/>
              </w:rPr>
              <w:t xml:space="preserve">electric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energy </w:t>
            </w:r>
            <w:r w:rsidR="00080A3D" w:rsidRPr="00F67272">
              <w:rPr>
                <w:rFonts w:ascii="Sylfaen" w:hAnsi="Sylfaen"/>
                <w:sz w:val="24"/>
                <w:szCs w:val="24"/>
              </w:rPr>
              <w:t xml:space="preserve">(the “Minimum Dispatch Commitment”)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>produced by the Company, provided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>that</w:t>
            </w:r>
            <w:r w:rsidR="00C40A73" w:rsidRPr="00F67272">
              <w:rPr>
                <w:rFonts w:ascii="Sylfaen" w:hAnsi="Sylfaen"/>
                <w:sz w:val="24"/>
                <w:szCs w:val="24"/>
              </w:rPr>
              <w:t xml:space="preserve"> the </w:t>
            </w:r>
            <w:r w:rsidR="00BD6F65" w:rsidRPr="00F67272">
              <w:rPr>
                <w:rFonts w:ascii="Sylfaen" w:hAnsi="Sylfaen"/>
                <w:sz w:val="24"/>
                <w:szCs w:val="24"/>
              </w:rPr>
              <w:t>P</w:t>
            </w:r>
            <w:r w:rsidR="00C40A73" w:rsidRPr="00F67272">
              <w:rPr>
                <w:rFonts w:ascii="Sylfaen" w:hAnsi="Sylfaen"/>
                <w:sz w:val="24"/>
                <w:szCs w:val="24"/>
              </w:rPr>
              <w:t>arties acknowledge that:</w:t>
            </w:r>
          </w:p>
          <w:p w:rsidR="0000124E" w:rsidRPr="00F67272" w:rsidRDefault="00C40A73" w:rsidP="00EA5AF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 xml:space="preserve">such Minimum Dispatch Commitment is subject to 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>the Compan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y 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being 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>able to produce such quota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 of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 electric</w:t>
            </w:r>
            <w:r w:rsidR="00DD236F" w:rsidRPr="00F67272">
              <w:rPr>
                <w:rFonts w:ascii="Sylfaen" w:hAnsi="Sylfaen"/>
                <w:sz w:val="24"/>
                <w:szCs w:val="24"/>
              </w:rPr>
              <w:t xml:space="preserve"> energy taking into consideration the water level of the reservoirs as determined in each applicable year</w:t>
            </w:r>
            <w:r w:rsidR="00DB741B" w:rsidRPr="00F67272">
              <w:rPr>
                <w:rFonts w:ascii="Sylfaen" w:hAnsi="Sylfaen"/>
                <w:sz w:val="24"/>
                <w:szCs w:val="24"/>
              </w:rPr>
              <w:t>;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 and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CF7976" w:rsidRPr="00F67272" w:rsidRDefault="00C40A73" w:rsidP="00EA5AF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0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 xml:space="preserve"> in the last 15 years the average annual electricity production in the hydro power plants of “</w:t>
            </w:r>
            <w:proofErr w:type="spellStart"/>
            <w:r w:rsidRPr="00F67272">
              <w:rPr>
                <w:rFonts w:ascii="Sylfaen" w:hAnsi="Sylfaen"/>
                <w:sz w:val="24"/>
                <w:szCs w:val="24"/>
              </w:rPr>
              <w:t>Vorotan</w:t>
            </w:r>
            <w:proofErr w:type="spellEnd"/>
            <w:r w:rsidRPr="00F67272">
              <w:rPr>
                <w:rFonts w:ascii="Sylfaen" w:hAnsi="Sylfaen"/>
                <w:sz w:val="24"/>
                <w:szCs w:val="24"/>
              </w:rPr>
              <w:t xml:space="preserve"> Complex of HPPs” amounted to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 xml:space="preserve"> 1</w:t>
            </w:r>
            <w:r w:rsidR="00915A31" w:rsidRPr="00F67272">
              <w:rPr>
                <w:rFonts w:ascii="Sylfaen" w:hAnsi="Sylfaen"/>
                <w:sz w:val="24"/>
                <w:szCs w:val="24"/>
              </w:rPr>
              <w:t>.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 xml:space="preserve">068.96 </w:t>
            </w:r>
            <w:proofErr w:type="spellStart"/>
            <w:r w:rsidR="00BD6F65" w:rsidRPr="00F67272">
              <w:rPr>
                <w:rFonts w:ascii="Sylfaen" w:hAnsi="Sylfaen"/>
                <w:sz w:val="24"/>
                <w:szCs w:val="24"/>
              </w:rPr>
              <w:t>G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>Wh</w:t>
            </w:r>
            <w:proofErr w:type="spellEnd"/>
            <w:r w:rsidR="0000124E" w:rsidRPr="00F67272">
              <w:rPr>
                <w:rFonts w:ascii="Sylfaen" w:hAnsi="Sylfaen"/>
                <w:sz w:val="24"/>
                <w:szCs w:val="24"/>
              </w:rPr>
              <w:t>.</w:t>
            </w:r>
          </w:p>
          <w:p w:rsidR="00DE1D1C" w:rsidRPr="00F67272" w:rsidRDefault="00DE1D1C" w:rsidP="00EA5AF0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1.2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CC0BBA" w:rsidRPr="00F67272">
              <w:rPr>
                <w:rFonts w:ascii="Sylfaen" w:hAnsi="Sylfaen"/>
                <w:sz w:val="24"/>
                <w:szCs w:val="24"/>
              </w:rPr>
              <w:t xml:space="preserve">Ministry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hereby undertakes </w:t>
            </w:r>
            <w:r w:rsidR="00241B82" w:rsidRPr="00F67272">
              <w:rPr>
                <w:rFonts w:ascii="Sylfaen" w:hAnsi="Sylfaen"/>
                <w:sz w:val="24"/>
                <w:szCs w:val="24"/>
              </w:rPr>
              <w:t>to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7216" w:rsidRPr="00F67272">
              <w:rPr>
                <w:rFonts w:ascii="Sylfaen" w:hAnsi="Sylfaen"/>
                <w:sz w:val="24"/>
                <w:szCs w:val="24"/>
              </w:rPr>
              <w:t xml:space="preserve">use its best efforts to 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cause the Electric Power System Operator CJSC (the “Grid Operator”) (i) </w:t>
            </w:r>
            <w:r w:rsidR="009F4B8C" w:rsidRPr="00F67272">
              <w:rPr>
                <w:rFonts w:ascii="Sylfaen" w:hAnsi="Sylfaen"/>
                <w:sz w:val="24"/>
                <w:szCs w:val="24"/>
              </w:rPr>
              <w:t xml:space="preserve">to </w:t>
            </w:r>
            <w:r w:rsidR="00C011A2" w:rsidRPr="00F67272">
              <w:rPr>
                <w:rFonts w:ascii="Sylfaen" w:hAnsi="Sylfaen"/>
                <w:sz w:val="24"/>
                <w:szCs w:val="24"/>
              </w:rPr>
              <w:t xml:space="preserve">agree to the </w:t>
            </w:r>
            <w:r w:rsidR="00080A3D" w:rsidRPr="00F67272">
              <w:rPr>
                <w:rFonts w:ascii="Sylfaen" w:hAnsi="Sylfaen"/>
                <w:sz w:val="24"/>
                <w:szCs w:val="24"/>
              </w:rPr>
              <w:t xml:space="preserve">Minimum Dispatch Commitment </w:t>
            </w:r>
            <w:r w:rsidR="00C011A2" w:rsidRPr="00F67272">
              <w:rPr>
                <w:rFonts w:ascii="Sylfaen" w:hAnsi="Sylfaen"/>
                <w:sz w:val="24"/>
                <w:szCs w:val="24"/>
              </w:rPr>
              <w:t>during each annual energy production forecast figures approva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>l</w:t>
            </w:r>
            <w:r w:rsidR="001F081C" w:rsidRPr="00F67272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C011A2" w:rsidRPr="00F67272">
              <w:rPr>
                <w:rFonts w:ascii="Sylfaen" w:hAnsi="Sylfaen"/>
                <w:sz w:val="24"/>
                <w:szCs w:val="24"/>
              </w:rPr>
              <w:t xml:space="preserve"> and </w:t>
            </w:r>
            <w:r w:rsidR="00080A3D" w:rsidRPr="00F67272">
              <w:rPr>
                <w:rFonts w:ascii="Sylfaen" w:hAnsi="Sylfaen"/>
                <w:sz w:val="24"/>
                <w:szCs w:val="24"/>
              </w:rPr>
              <w:t xml:space="preserve">(ii) </w:t>
            </w:r>
            <w:r w:rsidR="000D7DFE" w:rsidRPr="00F67272">
              <w:rPr>
                <w:rFonts w:ascii="Sylfaen" w:hAnsi="Sylfaen"/>
                <w:sz w:val="24"/>
                <w:szCs w:val="24"/>
              </w:rPr>
              <w:t xml:space="preserve">to procure that the </w:t>
            </w:r>
            <w:r w:rsidR="00C011A2" w:rsidRPr="00F67272">
              <w:rPr>
                <w:rFonts w:ascii="Sylfaen" w:hAnsi="Sylfaen" w:cs="Times New Roman"/>
                <w:bCs/>
                <w:sz w:val="24"/>
                <w:szCs w:val="24"/>
              </w:rPr>
              <w:t>PPA</w:t>
            </w:r>
            <w:r w:rsidR="00080A3D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</w:t>
            </w:r>
            <w:r w:rsidR="000D7DFE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is amended </w:t>
            </w:r>
            <w:r w:rsidR="00080A3D" w:rsidRPr="00F67272">
              <w:rPr>
                <w:rFonts w:ascii="Sylfaen" w:hAnsi="Sylfaen" w:cs="Times New Roman"/>
                <w:bCs/>
                <w:sz w:val="24"/>
                <w:szCs w:val="24"/>
              </w:rPr>
              <w:t>as required</w:t>
            </w:r>
            <w:r w:rsidR="00C011A2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 to incorporate </w:t>
            </w:r>
            <w:r w:rsidR="005738A4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the Minimum Dispatch Commitment </w:t>
            </w:r>
            <w:r w:rsidR="000D7DFE" w:rsidRPr="00F67272">
              <w:rPr>
                <w:rFonts w:ascii="Sylfaen" w:hAnsi="Sylfaen" w:cs="Times New Roman"/>
                <w:bCs/>
                <w:sz w:val="24"/>
                <w:szCs w:val="24"/>
              </w:rPr>
              <w:t>described above</w:t>
            </w:r>
            <w:r w:rsidR="0000124E" w:rsidRPr="00F67272">
              <w:rPr>
                <w:rFonts w:ascii="Sylfaen" w:hAnsi="Sylfaen" w:cs="Times New Roman"/>
                <w:bCs/>
                <w:sz w:val="24"/>
                <w:szCs w:val="24"/>
              </w:rPr>
              <w:t xml:space="preserve">, provided however that </w:t>
            </w:r>
            <w:r w:rsidR="0000124E" w:rsidRPr="00F67272">
              <w:rPr>
                <w:rFonts w:ascii="Sylfaen" w:hAnsi="Sylfaen"/>
                <w:sz w:val="24"/>
                <w:szCs w:val="24"/>
                <w:lang w:val="en-GB"/>
              </w:rPr>
              <w:t xml:space="preserve">pursuant to 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>article 37 of the law of the Republic of Armenia “On Energy” the Grid Operator as a system regulator is obliged to carry out a system regulation based on the</w:t>
            </w:r>
            <w:r w:rsidR="009A6D3B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0124E" w:rsidRPr="00F67272">
              <w:rPr>
                <w:rFonts w:ascii="Sylfaen" w:hAnsi="Sylfaen"/>
                <w:sz w:val="24"/>
                <w:szCs w:val="24"/>
              </w:rPr>
              <w:t>principle of satisfying the domestic market demand with minimal costs</w:t>
            </w:r>
            <w:r w:rsidR="00C011A2" w:rsidRPr="00F67272">
              <w:rPr>
                <w:rFonts w:ascii="Sylfaen" w:hAnsi="Sylfaen" w:cs="Times New Roman"/>
                <w:bCs/>
                <w:sz w:val="24"/>
                <w:szCs w:val="24"/>
              </w:rPr>
              <w:t>.</w:t>
            </w:r>
            <w:r w:rsidR="00C011A2"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BA1A6D" w:rsidRPr="00F67272" w:rsidRDefault="00BA1A6D" w:rsidP="00EA5AF0">
            <w:pPr>
              <w:pStyle w:val="ListParagraph"/>
              <w:tabs>
                <w:tab w:val="left" w:pos="0"/>
              </w:tabs>
              <w:ind w:left="0"/>
              <w:rPr>
                <w:rFonts w:ascii="Sylfaen" w:hAnsi="Sylfaen"/>
                <w:sz w:val="24"/>
                <w:szCs w:val="24"/>
              </w:rPr>
            </w:pPr>
          </w:p>
          <w:p w:rsidR="00684712" w:rsidRPr="00F67272" w:rsidRDefault="00684712" w:rsidP="00EA5AF0">
            <w:pPr>
              <w:pStyle w:val="ListParagraph"/>
              <w:tabs>
                <w:tab w:val="left" w:pos="0"/>
              </w:tabs>
              <w:ind w:left="0"/>
              <w:rPr>
                <w:rFonts w:ascii="Sylfaen" w:hAnsi="Sylfaen"/>
                <w:sz w:val="24"/>
                <w:szCs w:val="24"/>
              </w:rPr>
            </w:pPr>
          </w:p>
          <w:p w:rsidR="00A47C9F" w:rsidRPr="00F67272" w:rsidRDefault="00A47C9F" w:rsidP="00EA5AF0">
            <w:pPr>
              <w:pStyle w:val="ListParagraph"/>
              <w:tabs>
                <w:tab w:val="left" w:pos="0"/>
              </w:tabs>
              <w:ind w:left="0"/>
              <w:rPr>
                <w:rFonts w:ascii="Sylfaen" w:hAnsi="Sylfaen"/>
                <w:sz w:val="24"/>
                <w:szCs w:val="24"/>
              </w:rPr>
            </w:pPr>
          </w:p>
          <w:p w:rsidR="00A47C9F" w:rsidRPr="00F67272" w:rsidRDefault="00A47C9F" w:rsidP="00EA5AF0">
            <w:pPr>
              <w:pStyle w:val="ListParagraph"/>
              <w:tabs>
                <w:tab w:val="left" w:pos="0"/>
              </w:tabs>
              <w:ind w:left="0"/>
              <w:rPr>
                <w:rFonts w:ascii="Sylfaen" w:hAnsi="Sylfaen"/>
                <w:sz w:val="24"/>
                <w:szCs w:val="24"/>
              </w:rPr>
            </w:pPr>
          </w:p>
          <w:p w:rsidR="00896AA9" w:rsidRPr="00F67272" w:rsidRDefault="00896AA9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outlineLvl w:val="1"/>
              <w:rPr>
                <w:rFonts w:ascii="Sylfaen" w:hAnsi="Sylfaen"/>
                <w:szCs w:val="24"/>
                <w:lang w:val="en-US"/>
              </w:rPr>
            </w:pPr>
          </w:p>
          <w:p w:rsidR="005D21D8" w:rsidRPr="00F67272" w:rsidRDefault="0049502B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outlineLvl w:val="1"/>
              <w:rPr>
                <w:rFonts w:ascii="Sylfaen" w:hAnsi="Sylfaen"/>
                <w:szCs w:val="24"/>
                <w:lang w:val="en-US"/>
              </w:rPr>
            </w:pPr>
            <w:r w:rsidRPr="00F67272">
              <w:rPr>
                <w:rFonts w:ascii="Sylfaen" w:hAnsi="Sylfaen"/>
                <w:szCs w:val="24"/>
                <w:lang w:val="hy-AM"/>
              </w:rPr>
              <w:t>2</w:t>
            </w:r>
            <w:r w:rsidR="0089269B" w:rsidRPr="00F67272">
              <w:rPr>
                <w:rFonts w:ascii="Sylfaen" w:hAnsi="Sylfaen"/>
                <w:szCs w:val="24"/>
                <w:lang w:val="en-US"/>
              </w:rPr>
              <w:t>.</w:t>
            </w:r>
            <w:r w:rsidR="00EA5AF0" w:rsidRPr="00F67272">
              <w:rPr>
                <w:rFonts w:ascii="Sylfaen" w:hAnsi="Sylfaen"/>
                <w:szCs w:val="24"/>
                <w:lang w:val="en-US"/>
              </w:rPr>
              <w:tab/>
            </w:r>
            <w:r w:rsidR="0089269B" w:rsidRPr="00F67272">
              <w:rPr>
                <w:rFonts w:ascii="Sylfaen" w:hAnsi="Sylfaen"/>
                <w:szCs w:val="24"/>
                <w:lang w:val="en-US"/>
              </w:rPr>
              <w:t>Responsibilities of the Parties</w:t>
            </w:r>
          </w:p>
          <w:p w:rsidR="00F16316" w:rsidRPr="00F67272" w:rsidRDefault="0049502B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en-US"/>
              </w:rPr>
            </w:pPr>
            <w:r w:rsidRPr="00F67272">
              <w:rPr>
                <w:rFonts w:ascii="Sylfaen" w:hAnsi="Sylfaen"/>
                <w:b w:val="0"/>
                <w:szCs w:val="24"/>
              </w:rPr>
              <w:t>2.1</w:t>
            </w:r>
            <w:r w:rsidR="00EA5AF0" w:rsidRPr="00F67272">
              <w:rPr>
                <w:rFonts w:ascii="Sylfaen" w:hAnsi="Sylfaen"/>
                <w:b w:val="0"/>
                <w:szCs w:val="24"/>
              </w:rPr>
              <w:tab/>
            </w:r>
            <w:r w:rsidR="004F2593" w:rsidRPr="00F67272">
              <w:rPr>
                <w:rFonts w:ascii="Sylfaen" w:hAnsi="Sylfaen"/>
                <w:b w:val="0"/>
                <w:szCs w:val="24"/>
              </w:rPr>
              <w:t xml:space="preserve">The Company and the </w:t>
            </w:r>
            <w:r w:rsidR="00947DA1" w:rsidRPr="00F67272">
              <w:rPr>
                <w:rFonts w:ascii="Sylfaen" w:hAnsi="Sylfaen"/>
                <w:b w:val="0"/>
                <w:szCs w:val="24"/>
              </w:rPr>
              <w:t>Ministry</w:t>
            </w:r>
            <w:r w:rsidR="00126329" w:rsidRPr="00F67272">
              <w:rPr>
                <w:rFonts w:ascii="Sylfaen" w:hAnsi="Sylfaen"/>
                <w:b w:val="0"/>
                <w:szCs w:val="24"/>
              </w:rPr>
              <w:t xml:space="preserve"> </w:t>
            </w:r>
            <w:r w:rsidR="004F2593" w:rsidRPr="00F67272">
              <w:rPr>
                <w:rFonts w:ascii="Sylfaen" w:hAnsi="Sylfaen"/>
                <w:b w:val="0"/>
                <w:szCs w:val="24"/>
              </w:rPr>
              <w:t xml:space="preserve">undertake </w:t>
            </w:r>
            <w:r w:rsidR="004F2593" w:rsidRPr="00F67272">
              <w:rPr>
                <w:rFonts w:ascii="Sylfaen" w:hAnsi="Sylfaen"/>
                <w:b w:val="0"/>
                <w:szCs w:val="24"/>
              </w:rPr>
              <w:lastRenderedPageBreak/>
              <w:t xml:space="preserve">to </w:t>
            </w:r>
            <w:r w:rsidR="002C6B0D" w:rsidRPr="00F67272">
              <w:rPr>
                <w:rFonts w:ascii="Sylfaen" w:hAnsi="Sylfaen"/>
                <w:b w:val="0"/>
                <w:szCs w:val="24"/>
                <w:lang w:val="en-US"/>
              </w:rPr>
              <w:t>cooperate in accordance with the main principles of cooperation provided in Clause 1 of this MoU.</w:t>
            </w:r>
          </w:p>
          <w:p w:rsidR="00302397" w:rsidRPr="00F67272" w:rsidRDefault="00302397" w:rsidP="00302397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jc w:val="both"/>
              <w:outlineLvl w:val="1"/>
              <w:rPr>
                <w:rFonts w:ascii="Sylfaen" w:hAnsi="Sylfaen"/>
                <w:b w:val="0"/>
                <w:szCs w:val="24"/>
                <w:lang w:val="en-US"/>
              </w:rPr>
            </w:pPr>
            <w:r w:rsidRPr="00F67272">
              <w:rPr>
                <w:rFonts w:ascii="Sylfaen" w:hAnsi="Sylfaen"/>
                <w:b w:val="0"/>
                <w:szCs w:val="24"/>
                <w:lang w:val="hy-AM"/>
              </w:rPr>
              <w:t>2.2</w:t>
            </w:r>
            <w:r w:rsidRPr="00F67272">
              <w:rPr>
                <w:rFonts w:ascii="Sylfaen" w:hAnsi="Sylfaen"/>
                <w:b w:val="0"/>
                <w:szCs w:val="24"/>
                <w:lang w:val="en-US"/>
              </w:rPr>
              <w:tab/>
              <w:t xml:space="preserve">In case of failure to perform the obligations of the Parties provided in this MoU the Parties shall bear responsibility in accordance with </w:t>
            </w:r>
            <w:bookmarkStart w:id="0" w:name="_GoBack"/>
            <w:bookmarkEnd w:id="0"/>
            <w:r w:rsidR="00F67272" w:rsidRPr="00F67272">
              <w:rPr>
                <w:rFonts w:ascii="Sylfaen" w:hAnsi="Sylfaen"/>
                <w:b w:val="0"/>
                <w:szCs w:val="24"/>
                <w:lang w:val="en-US"/>
              </w:rPr>
              <w:t>the APA Clause 3.05 (e)</w:t>
            </w:r>
            <w:r w:rsidRPr="00F67272">
              <w:rPr>
                <w:rFonts w:ascii="Sylfaen" w:hAnsi="Sylfaen"/>
                <w:b w:val="0"/>
                <w:szCs w:val="24"/>
                <w:lang w:val="en-US"/>
              </w:rPr>
              <w:t xml:space="preserve">. </w:t>
            </w:r>
          </w:p>
          <w:p w:rsidR="0089269B" w:rsidRPr="00F67272" w:rsidRDefault="0089269B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outlineLvl w:val="1"/>
              <w:rPr>
                <w:rFonts w:ascii="Sylfaen" w:hAnsi="Sylfaen"/>
                <w:b w:val="0"/>
                <w:szCs w:val="24"/>
                <w:lang w:val="en-US"/>
              </w:rPr>
            </w:pPr>
          </w:p>
          <w:p w:rsidR="00302397" w:rsidRPr="00F67272" w:rsidRDefault="00302397" w:rsidP="00EA5AF0">
            <w:pPr>
              <w:pStyle w:val="Heading2"/>
              <w:tabs>
                <w:tab w:val="left" w:pos="0"/>
              </w:tabs>
              <w:spacing w:before="0" w:after="0"/>
              <w:ind w:left="0" w:firstLine="0"/>
              <w:outlineLvl w:val="1"/>
              <w:rPr>
                <w:rFonts w:ascii="Sylfaen" w:hAnsi="Sylfaen"/>
                <w:b w:val="0"/>
                <w:szCs w:val="24"/>
                <w:lang w:val="en-US"/>
              </w:rPr>
            </w:pPr>
          </w:p>
          <w:p w:rsidR="00397D64" w:rsidRPr="00F67272" w:rsidRDefault="00397D64" w:rsidP="00EA5AF0">
            <w:pPr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 xml:space="preserve">3. </w:t>
            </w:r>
            <w:r w:rsidR="000D4472" w:rsidRPr="00F67272">
              <w:rPr>
                <w:rFonts w:ascii="Sylfaen" w:hAnsi="Sylfaen"/>
                <w:b/>
                <w:sz w:val="24"/>
                <w:szCs w:val="24"/>
                <w:lang w:val="ru-RU"/>
              </w:rPr>
              <w:t>Мо</w:t>
            </w:r>
            <w:r w:rsidR="000D4472" w:rsidRPr="00F67272">
              <w:rPr>
                <w:rFonts w:ascii="Sylfaen" w:hAnsi="Sylfaen"/>
                <w:b/>
                <w:sz w:val="24"/>
                <w:szCs w:val="24"/>
              </w:rPr>
              <w:t>U term</w:t>
            </w:r>
            <w:r w:rsidR="0089269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  <w:r w:rsidR="0089269B" w:rsidRPr="00F67272">
              <w:rPr>
                <w:rFonts w:ascii="Sylfaen" w:hAnsi="Sylfaen"/>
                <w:b/>
                <w:sz w:val="24"/>
                <w:szCs w:val="24"/>
              </w:rPr>
              <w:t>and binding nature</w:t>
            </w:r>
            <w:r w:rsidR="0089269B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</w:t>
            </w:r>
          </w:p>
          <w:p w:rsidR="00CF7976" w:rsidRPr="00F67272" w:rsidRDefault="00397D64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3.1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</w:rPr>
              <w:t>This MoU takes effect upon bilateral signature of the Parties and remains in for</w:t>
            </w:r>
            <w:r w:rsidR="00186CCB" w:rsidRPr="00F67272">
              <w:rPr>
                <w:rFonts w:ascii="Sylfaen" w:hAnsi="Sylfaen"/>
                <w:sz w:val="24"/>
                <w:szCs w:val="24"/>
              </w:rPr>
              <w:t>c</w:t>
            </w:r>
            <w:r w:rsidRPr="00F67272">
              <w:rPr>
                <w:rFonts w:ascii="Sylfaen" w:hAnsi="Sylfaen"/>
                <w:sz w:val="24"/>
                <w:szCs w:val="24"/>
              </w:rPr>
              <w:t>e till</w:t>
            </w:r>
            <w:r w:rsidR="0089269B" w:rsidRPr="00F67272">
              <w:rPr>
                <w:rFonts w:ascii="Sylfaen" w:hAnsi="Sylfaen"/>
                <w:sz w:val="24"/>
                <w:szCs w:val="24"/>
              </w:rPr>
              <w:t xml:space="preserve"> full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A2190" w:rsidRPr="00F67272">
              <w:rPr>
                <w:rFonts w:ascii="Sylfaen" w:hAnsi="Sylfaen"/>
                <w:sz w:val="24"/>
                <w:szCs w:val="24"/>
              </w:rPr>
              <w:t xml:space="preserve">performance of </w:t>
            </w:r>
            <w:r w:rsidR="0089269B" w:rsidRPr="00F67272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0A2190" w:rsidRPr="00F67272">
              <w:rPr>
                <w:rFonts w:ascii="Sylfaen" w:hAnsi="Sylfaen"/>
                <w:sz w:val="24"/>
                <w:szCs w:val="24"/>
              </w:rPr>
              <w:t>obligations of the Parties</w:t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. </w:t>
            </w:r>
          </w:p>
          <w:p w:rsidR="000A2190" w:rsidRPr="00F67272" w:rsidRDefault="000A2190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89269B" w:rsidRPr="00F67272" w:rsidRDefault="0089269B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0A2190" w:rsidRPr="00F67272" w:rsidRDefault="000A2190" w:rsidP="00EA5AF0">
            <w:pPr>
              <w:tabs>
                <w:tab w:val="left" w:pos="0"/>
                <w:tab w:val="left" w:pos="360"/>
              </w:tabs>
              <w:spacing w:after="200"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3.2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Pr="00F67272">
              <w:rPr>
                <w:rFonts w:ascii="Sylfaen" w:hAnsi="Sylfaen"/>
                <w:sz w:val="24"/>
                <w:szCs w:val="24"/>
              </w:rPr>
              <w:t xml:space="preserve">This MoU constitutes a legally binding document </w:t>
            </w:r>
            <w:r w:rsidRPr="00F67272">
              <w:rPr>
                <w:rFonts w:ascii="Sylfaen" w:hAnsi="Sylfaen"/>
                <w:sz w:val="24"/>
                <w:szCs w:val="24"/>
                <w:lang w:val="en-GB"/>
              </w:rPr>
              <w:t>and the obligations defined therein shall be subject to mandatory fulfilment by the Parties</w:t>
            </w:r>
            <w:r w:rsidRPr="00F67272">
              <w:rPr>
                <w:rFonts w:ascii="Sylfaen" w:hAnsi="Sylfaen"/>
                <w:sz w:val="24"/>
                <w:szCs w:val="24"/>
              </w:rPr>
              <w:t>.</w:t>
            </w:r>
          </w:p>
          <w:p w:rsidR="00302397" w:rsidRPr="00F67272" w:rsidRDefault="00302397" w:rsidP="0030239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3.3</w:t>
            </w:r>
            <w:r w:rsidRPr="00F67272">
              <w:rPr>
                <w:rFonts w:ascii="Sylfaen" w:hAnsi="Sylfaen"/>
                <w:sz w:val="24"/>
                <w:szCs w:val="24"/>
              </w:rPr>
              <w:tab/>
              <w:t>This MoU, including any obligations arising out of or in connection with this MoU shall be governed by and construed in accordance with the laws of England.</w:t>
            </w:r>
          </w:p>
          <w:p w:rsidR="00302397" w:rsidRPr="00F67272" w:rsidRDefault="00302397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133477" w:rsidRPr="00F67272" w:rsidRDefault="00EF1840" w:rsidP="00EA5AF0">
            <w:pPr>
              <w:tabs>
                <w:tab w:val="left" w:pos="0"/>
              </w:tabs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3.</w:t>
            </w:r>
            <w:r w:rsidR="00302397" w:rsidRPr="00F67272">
              <w:rPr>
                <w:rFonts w:ascii="Sylfaen" w:hAnsi="Sylfaen"/>
                <w:sz w:val="24"/>
                <w:szCs w:val="24"/>
              </w:rPr>
              <w:t>4</w:t>
            </w:r>
            <w:r w:rsidR="00EA5AF0" w:rsidRPr="00F67272">
              <w:rPr>
                <w:rFonts w:ascii="Sylfaen" w:hAnsi="Sylfaen"/>
                <w:sz w:val="24"/>
                <w:szCs w:val="24"/>
              </w:rPr>
              <w:tab/>
            </w:r>
            <w:r w:rsidR="00133477" w:rsidRPr="00F67272">
              <w:rPr>
                <w:rFonts w:ascii="Sylfaen" w:eastAsia="Times New Roman" w:hAnsi="Sylfaen" w:cs="Times New Roman"/>
                <w:sz w:val="24"/>
                <w:szCs w:val="24"/>
              </w:rPr>
              <w:t xml:space="preserve">This MoU is made in Armenian and English languages, in 2 (two) originals of equal force. In case of inconsistencies between the English and Armenian versions, the Armenian version shall prevail. Each Party to the </w:t>
            </w:r>
            <w:r w:rsidR="00AC2140" w:rsidRPr="00F67272">
              <w:rPr>
                <w:rFonts w:ascii="Sylfaen" w:eastAsia="Times New Roman" w:hAnsi="Sylfaen" w:cs="Times New Roman"/>
                <w:sz w:val="24"/>
                <w:szCs w:val="24"/>
              </w:rPr>
              <w:t>MoU</w:t>
            </w:r>
            <w:r w:rsidR="00133477" w:rsidRPr="00F67272">
              <w:rPr>
                <w:rFonts w:ascii="Sylfaen" w:eastAsia="Times New Roman" w:hAnsi="Sylfaen" w:cs="Times New Roman"/>
                <w:sz w:val="24"/>
                <w:szCs w:val="24"/>
              </w:rPr>
              <w:t xml:space="preserve"> is given</w:t>
            </w:r>
            <w:r w:rsidR="000D4472" w:rsidRPr="00F6727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67272">
              <w:rPr>
                <w:rFonts w:ascii="Sylfaen" w:eastAsia="Times New Roman" w:hAnsi="Sylfaen" w:cs="Times New Roman"/>
                <w:sz w:val="24"/>
                <w:szCs w:val="24"/>
              </w:rPr>
              <w:t>one</w:t>
            </w:r>
            <w:r w:rsidR="000D4472" w:rsidRPr="00F67272">
              <w:rPr>
                <w:rFonts w:ascii="Sylfaen" w:eastAsia="Times New Roman" w:hAnsi="Sylfaen" w:cs="Times New Roman"/>
                <w:sz w:val="24"/>
                <w:szCs w:val="24"/>
              </w:rPr>
              <w:t xml:space="preserve"> original</w:t>
            </w:r>
            <w:r w:rsidR="00133477" w:rsidRPr="00F67272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</w:p>
          <w:p w:rsidR="00250173" w:rsidRPr="00F67272" w:rsidRDefault="00250173" w:rsidP="00EA5AF0">
            <w:pPr>
              <w:tabs>
                <w:tab w:val="left" w:pos="0"/>
              </w:tabs>
              <w:contextualSpacing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</w:p>
          <w:p w:rsidR="0089269B" w:rsidRPr="00F67272" w:rsidRDefault="0089269B" w:rsidP="00EA5AF0">
            <w:pPr>
              <w:tabs>
                <w:tab w:val="left" w:pos="0"/>
              </w:tabs>
              <w:contextualSpacing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</w:p>
          <w:p w:rsidR="00250173" w:rsidRPr="00F67272" w:rsidRDefault="00250173" w:rsidP="00EA5AF0">
            <w:pPr>
              <w:tabs>
                <w:tab w:val="left" w:pos="0"/>
              </w:tabs>
              <w:jc w:val="both"/>
              <w:rPr>
                <w:rFonts w:ascii="Sylfaen" w:hAnsi="Sylfaen" w:cs="Calibri"/>
                <w:b/>
                <w:caps/>
                <w:sz w:val="24"/>
                <w:szCs w:val="24"/>
              </w:rPr>
            </w:pPr>
            <w:r w:rsidRPr="00F67272">
              <w:rPr>
                <w:rFonts w:ascii="Sylfaen" w:hAnsi="Sylfaen" w:cs="Calibri"/>
                <w:b/>
                <w:sz w:val="24"/>
                <w:szCs w:val="24"/>
              </w:rPr>
              <w:t>“</w:t>
            </w:r>
            <w:proofErr w:type="spellStart"/>
            <w:r w:rsidRPr="00F67272">
              <w:rPr>
                <w:rFonts w:ascii="Sylfaen" w:hAnsi="Sylfaen" w:cs="Calibri"/>
                <w:b/>
                <w:sz w:val="24"/>
                <w:szCs w:val="24"/>
              </w:rPr>
              <w:t>ContourGlobal</w:t>
            </w:r>
            <w:proofErr w:type="spellEnd"/>
            <w:r w:rsidRPr="00F67272">
              <w:rPr>
                <w:rFonts w:ascii="Sylfaen" w:hAnsi="Sylfaen" w:cs="Calibri"/>
                <w:b/>
                <w:sz w:val="24"/>
                <w:szCs w:val="24"/>
              </w:rPr>
              <w:t xml:space="preserve"> H</w:t>
            </w:r>
            <w:r w:rsidR="008E42C8" w:rsidRPr="00F67272">
              <w:rPr>
                <w:rFonts w:ascii="Sylfaen" w:hAnsi="Sylfaen" w:cs="Calibri"/>
                <w:b/>
                <w:sz w:val="24"/>
                <w:szCs w:val="24"/>
              </w:rPr>
              <w:t>ydro Cascade</w:t>
            </w:r>
            <w:r w:rsidRPr="00F67272">
              <w:rPr>
                <w:rFonts w:ascii="Sylfaen" w:hAnsi="Sylfaen" w:cs="Calibri"/>
                <w:b/>
                <w:sz w:val="24"/>
                <w:szCs w:val="24"/>
              </w:rPr>
              <w:t>” CJSC</w:t>
            </w:r>
            <w:r w:rsidRPr="00F67272">
              <w:rPr>
                <w:rFonts w:ascii="Sylfaen" w:hAnsi="Sylfaen" w:cs="Calibri"/>
                <w:b/>
                <w:caps/>
                <w:sz w:val="24"/>
                <w:szCs w:val="24"/>
              </w:rPr>
              <w:t xml:space="preserve"> </w:t>
            </w:r>
          </w:p>
          <w:p w:rsidR="00250173" w:rsidRPr="00F67272" w:rsidRDefault="00250173" w:rsidP="00EA5AF0">
            <w:pPr>
              <w:tabs>
                <w:tab w:val="left" w:pos="0"/>
              </w:tabs>
              <w:jc w:val="both"/>
              <w:rPr>
                <w:rStyle w:val="normaltextrun"/>
                <w:rFonts w:ascii="Sylfaen" w:hAnsi="Sylfaen" w:cs="Arial"/>
                <w:sz w:val="24"/>
                <w:szCs w:val="24"/>
              </w:rPr>
            </w:pPr>
            <w:r w:rsidRPr="00F67272">
              <w:rPr>
                <w:rFonts w:ascii="Sylfaen" w:hAnsi="Sylfaen" w:cs="Calibri"/>
                <w:sz w:val="24"/>
                <w:szCs w:val="24"/>
              </w:rPr>
              <w:t xml:space="preserve">2/2 </w:t>
            </w:r>
            <w:proofErr w:type="spellStart"/>
            <w:r w:rsidRPr="00F67272">
              <w:rPr>
                <w:rFonts w:ascii="Sylfaen" w:hAnsi="Sylfaen" w:cs="Calibri"/>
                <w:sz w:val="24"/>
                <w:szCs w:val="24"/>
              </w:rPr>
              <w:t>Melik</w:t>
            </w:r>
            <w:proofErr w:type="spellEnd"/>
            <w:r w:rsidRPr="00F67272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F67272">
              <w:rPr>
                <w:rFonts w:ascii="Sylfaen" w:hAnsi="Sylfaen" w:cs="Calibri"/>
                <w:sz w:val="24"/>
                <w:szCs w:val="24"/>
              </w:rPr>
              <w:t>Adamyan</w:t>
            </w:r>
            <w:proofErr w:type="spellEnd"/>
            <w:r w:rsidRPr="00F67272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F67272">
              <w:rPr>
                <w:rFonts w:ascii="Sylfaen" w:hAnsi="Sylfaen" w:cs="Calibri"/>
                <w:sz w:val="24"/>
                <w:szCs w:val="24"/>
              </w:rPr>
              <w:t>street.</w:t>
            </w:r>
            <w:r w:rsidRPr="00F67272">
              <w:rPr>
                <w:rStyle w:val="normaltextrun"/>
                <w:rFonts w:ascii="Sylfaen" w:hAnsi="Sylfaen" w:cs="Arial"/>
                <w:sz w:val="24"/>
                <w:szCs w:val="24"/>
              </w:rPr>
              <w:t>Yerevan</w:t>
            </w:r>
            <w:proofErr w:type="spellEnd"/>
            <w:r w:rsidRPr="00F67272">
              <w:rPr>
                <w:rStyle w:val="normaltextrun"/>
                <w:rFonts w:ascii="Sylfaen" w:hAnsi="Sylfaen" w:cs="Arial"/>
                <w:sz w:val="24"/>
                <w:szCs w:val="24"/>
              </w:rPr>
              <w:t> </w:t>
            </w:r>
          </w:p>
          <w:p w:rsidR="00250173" w:rsidRPr="00F67272" w:rsidRDefault="00250173" w:rsidP="00EA5AF0">
            <w:pPr>
              <w:tabs>
                <w:tab w:val="left" w:pos="0"/>
              </w:tabs>
              <w:jc w:val="both"/>
              <w:rPr>
                <w:rFonts w:ascii="Sylfaen" w:hAnsi="Sylfaen" w:cs="Calibri"/>
                <w:sz w:val="24"/>
                <w:szCs w:val="24"/>
              </w:rPr>
            </w:pPr>
            <w:r w:rsidRPr="00F6727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F67272">
              <w:rPr>
                <w:rFonts w:ascii="Sylfaen" w:hAnsi="Sylfaen" w:cs="Arial"/>
                <w:sz w:val="24"/>
                <w:szCs w:val="24"/>
              </w:rPr>
              <w:t>Ameriabank</w:t>
            </w:r>
            <w:proofErr w:type="spellEnd"/>
            <w:r w:rsidRPr="00F67272">
              <w:rPr>
                <w:rFonts w:ascii="Sylfaen" w:hAnsi="Sylfaen" w:cs="Arial"/>
                <w:sz w:val="24"/>
                <w:szCs w:val="24"/>
              </w:rPr>
              <w:t xml:space="preserve"> CJSC, Yerevan, Armenia</w:t>
            </w:r>
          </w:p>
          <w:p w:rsidR="00250173" w:rsidRPr="00F67272" w:rsidRDefault="00250173" w:rsidP="00EA5AF0">
            <w:pPr>
              <w:tabs>
                <w:tab w:val="left" w:pos="0"/>
              </w:tabs>
              <w:jc w:val="both"/>
              <w:rPr>
                <w:rFonts w:ascii="Sylfaen" w:hAnsi="Sylfaen" w:cs="Calibri"/>
                <w:sz w:val="24"/>
                <w:szCs w:val="24"/>
              </w:rPr>
            </w:pPr>
            <w:r w:rsidRPr="00F67272">
              <w:rPr>
                <w:rFonts w:ascii="Sylfaen" w:hAnsi="Sylfaen" w:cs="Arial"/>
                <w:sz w:val="24"/>
                <w:szCs w:val="24"/>
              </w:rPr>
              <w:t>b/a:</w:t>
            </w:r>
            <w:r w:rsidR="009A6D3B" w:rsidRPr="00F6727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 w:cs="Arial"/>
                <w:sz w:val="24"/>
                <w:szCs w:val="24"/>
              </w:rPr>
              <w:t>15700-17462030100</w:t>
            </w:r>
          </w:p>
          <w:p w:rsidR="002354BF" w:rsidRPr="00F67272" w:rsidRDefault="00250173" w:rsidP="00EA5AF0">
            <w:pPr>
              <w:tabs>
                <w:tab w:val="left" w:pos="0"/>
              </w:tabs>
              <w:jc w:val="both"/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</w:pPr>
            <w:r w:rsidRPr="00F67272">
              <w:rPr>
                <w:rStyle w:val="normaltextrun"/>
                <w:rFonts w:ascii="Sylfaen" w:hAnsi="Sylfaen" w:cs="Arial"/>
                <w:sz w:val="24"/>
                <w:szCs w:val="24"/>
              </w:rPr>
              <w:t> </w:t>
            </w:r>
          </w:p>
          <w:p w:rsidR="00250173" w:rsidRPr="00F67272" w:rsidRDefault="00250173" w:rsidP="00EA5AF0">
            <w:pPr>
              <w:tabs>
                <w:tab w:val="left" w:pos="0"/>
              </w:tabs>
              <w:jc w:val="both"/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</w:pPr>
            <w:r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  <w:t>Director</w:t>
            </w:r>
            <w:r w:rsidR="00EA5AF0"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  <w:t xml:space="preserve"> </w:t>
            </w:r>
            <w:r w:rsidR="00EA5AF0" w:rsidRPr="00F67272">
              <w:rPr>
                <w:rFonts w:ascii="Sylfaen" w:hAnsi="Sylfaen" w:cs="Arial"/>
                <w:b/>
                <w:sz w:val="24"/>
                <w:szCs w:val="24"/>
                <w:lang w:val="hy-AM"/>
              </w:rPr>
              <w:t>_________________</w:t>
            </w:r>
            <w:r w:rsidR="00EA5AF0" w:rsidRPr="00F67272">
              <w:rPr>
                <w:rFonts w:ascii="Sylfaen" w:hAnsi="Sylfaen" w:cs="Arial"/>
                <w:b/>
                <w:sz w:val="24"/>
                <w:szCs w:val="24"/>
              </w:rPr>
              <w:t xml:space="preserve"> </w:t>
            </w:r>
            <w:r w:rsidRPr="00F67272"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  <w:t>Ara Hovsepyan</w:t>
            </w:r>
          </w:p>
          <w:p w:rsidR="0095792A" w:rsidRPr="00F67272" w:rsidRDefault="0095792A" w:rsidP="00EA5AF0">
            <w:pPr>
              <w:tabs>
                <w:tab w:val="left" w:pos="0"/>
              </w:tabs>
              <w:jc w:val="both"/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</w:pPr>
          </w:p>
          <w:p w:rsidR="00EA5AF0" w:rsidRPr="00F67272" w:rsidRDefault="00EA5AF0" w:rsidP="00EA5AF0">
            <w:pPr>
              <w:tabs>
                <w:tab w:val="left" w:pos="0"/>
              </w:tabs>
              <w:jc w:val="both"/>
              <w:rPr>
                <w:rStyle w:val="normaltextrun"/>
                <w:rFonts w:ascii="Sylfaen" w:hAnsi="Sylfaen" w:cs="Arial"/>
                <w:b/>
                <w:sz w:val="24"/>
                <w:szCs w:val="24"/>
              </w:rPr>
            </w:pPr>
          </w:p>
          <w:p w:rsidR="00DE38E1" w:rsidRPr="00F67272" w:rsidRDefault="00DE38E1" w:rsidP="00EA5AF0">
            <w:pPr>
              <w:tabs>
                <w:tab w:val="left" w:pos="0"/>
              </w:tabs>
              <w:rPr>
                <w:rFonts w:ascii="Sylfaen" w:hAnsi="Sylfaen"/>
                <w:b/>
                <w:sz w:val="24"/>
                <w:szCs w:val="24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>Ministry</w:t>
            </w:r>
            <w:r w:rsidR="009A6D3B" w:rsidRPr="00F6727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of Energy Infrastructures and</w:t>
            </w:r>
          </w:p>
          <w:p w:rsidR="0089269B" w:rsidRPr="00F67272" w:rsidRDefault="00DE38E1" w:rsidP="00EA5AF0">
            <w:pPr>
              <w:tabs>
                <w:tab w:val="left" w:pos="0"/>
              </w:tabs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>Natural Resources of the Republic of Armenia</w:t>
            </w:r>
          </w:p>
          <w:p w:rsidR="0095792A" w:rsidRPr="00F67272" w:rsidRDefault="00DE38E1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Repub</w:t>
            </w:r>
            <w:r w:rsidR="0095792A" w:rsidRPr="00F67272">
              <w:rPr>
                <w:rFonts w:ascii="Sylfaen" w:hAnsi="Sylfaen"/>
                <w:sz w:val="24"/>
                <w:szCs w:val="24"/>
              </w:rPr>
              <w:t>lic Square, Government House 3</w:t>
            </w:r>
          </w:p>
          <w:p w:rsidR="002354BF" w:rsidRPr="00F67272" w:rsidRDefault="00DE38E1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</w:rPr>
            </w:pPr>
            <w:r w:rsidRPr="00F67272">
              <w:rPr>
                <w:rFonts w:ascii="Sylfaen" w:hAnsi="Sylfaen"/>
                <w:sz w:val="24"/>
                <w:szCs w:val="24"/>
              </w:rPr>
              <w:t>Yerevan, Armenia</w:t>
            </w:r>
          </w:p>
          <w:p w:rsidR="0095792A" w:rsidRPr="00F67272" w:rsidRDefault="0095792A" w:rsidP="00EA5AF0">
            <w:pPr>
              <w:tabs>
                <w:tab w:val="left" w:pos="0"/>
              </w:tabs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89269B" w:rsidRPr="00F67272" w:rsidRDefault="00DE38E1" w:rsidP="00EA5AF0">
            <w:pPr>
              <w:tabs>
                <w:tab w:val="left" w:pos="0"/>
              </w:tabs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F67272">
              <w:rPr>
                <w:rFonts w:ascii="Sylfaen" w:hAnsi="Sylfaen"/>
                <w:b/>
                <w:sz w:val="24"/>
                <w:szCs w:val="24"/>
              </w:rPr>
              <w:t>Minister</w:t>
            </w:r>
            <w:r w:rsidR="00EA5AF0" w:rsidRPr="00F6727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EA5AF0" w:rsidRPr="00F67272">
              <w:rPr>
                <w:rFonts w:ascii="Sylfaen" w:hAnsi="Sylfaen"/>
                <w:b/>
                <w:sz w:val="24"/>
                <w:szCs w:val="24"/>
                <w:lang w:val="hy-AM"/>
              </w:rPr>
              <w:t>_________________</w:t>
            </w:r>
            <w:r w:rsidR="00EA5AF0" w:rsidRPr="00F6727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67272">
              <w:rPr>
                <w:rFonts w:ascii="Sylfaen" w:hAnsi="Sylfaen"/>
                <w:b/>
                <w:sz w:val="24"/>
                <w:szCs w:val="24"/>
              </w:rPr>
              <w:t>Ashot Manukyan</w:t>
            </w:r>
          </w:p>
          <w:p w:rsidR="00EA5AF0" w:rsidRPr="00F67272" w:rsidRDefault="00EA5AF0" w:rsidP="00EA5AF0">
            <w:pPr>
              <w:tabs>
                <w:tab w:val="left" w:pos="0"/>
              </w:tabs>
              <w:jc w:val="both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</w:tbl>
    <w:p w:rsidR="00250173" w:rsidRPr="00241B82" w:rsidRDefault="00250173" w:rsidP="00EA5AF0">
      <w:pPr>
        <w:pStyle w:val="Heading1"/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sectPr w:rsidR="00250173" w:rsidRPr="00241B82" w:rsidSect="00A17D0F">
      <w:pgSz w:w="11906" w:h="16838" w:code="9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06B"/>
    <w:multiLevelType w:val="hybridMultilevel"/>
    <w:tmpl w:val="CE60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528D"/>
    <w:multiLevelType w:val="multilevel"/>
    <w:tmpl w:val="4EDA5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CB0EA7"/>
    <w:multiLevelType w:val="hybridMultilevel"/>
    <w:tmpl w:val="7370FA70"/>
    <w:lvl w:ilvl="0" w:tplc="B49AFE18">
      <w:start w:val="1"/>
      <w:numFmt w:val="lowerRoman"/>
      <w:lvlText w:val="(%1)"/>
      <w:lvlJc w:val="left"/>
      <w:pPr>
        <w:ind w:left="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 w15:restartNumberingAfterBreak="0">
    <w:nsid w:val="33730F1F"/>
    <w:multiLevelType w:val="multilevel"/>
    <w:tmpl w:val="9FB22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CE2700"/>
    <w:multiLevelType w:val="hybridMultilevel"/>
    <w:tmpl w:val="31B8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236E"/>
    <w:multiLevelType w:val="hybridMultilevel"/>
    <w:tmpl w:val="CFE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6341A"/>
    <w:multiLevelType w:val="multilevel"/>
    <w:tmpl w:val="01DA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C879E1"/>
    <w:multiLevelType w:val="hybridMultilevel"/>
    <w:tmpl w:val="1ED4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723C"/>
    <w:multiLevelType w:val="hybridMultilevel"/>
    <w:tmpl w:val="6DE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6508"/>
    <w:rsid w:val="0000124E"/>
    <w:rsid w:val="00012185"/>
    <w:rsid w:val="00016742"/>
    <w:rsid w:val="000206DC"/>
    <w:rsid w:val="00055C61"/>
    <w:rsid w:val="000729A2"/>
    <w:rsid w:val="00072CFB"/>
    <w:rsid w:val="00074279"/>
    <w:rsid w:val="00080A3D"/>
    <w:rsid w:val="0009118F"/>
    <w:rsid w:val="000A2190"/>
    <w:rsid w:val="000A7F49"/>
    <w:rsid w:val="000B265D"/>
    <w:rsid w:val="000B30C4"/>
    <w:rsid w:val="000B3BDA"/>
    <w:rsid w:val="000D4472"/>
    <w:rsid w:val="000D7DFE"/>
    <w:rsid w:val="000E5E43"/>
    <w:rsid w:val="00126329"/>
    <w:rsid w:val="00133477"/>
    <w:rsid w:val="001341DE"/>
    <w:rsid w:val="001559E0"/>
    <w:rsid w:val="001803C1"/>
    <w:rsid w:val="00186CCB"/>
    <w:rsid w:val="001B3174"/>
    <w:rsid w:val="001B7216"/>
    <w:rsid w:val="001C69C8"/>
    <w:rsid w:val="001E181F"/>
    <w:rsid w:val="001F081C"/>
    <w:rsid w:val="001F758C"/>
    <w:rsid w:val="002328B5"/>
    <w:rsid w:val="002354BF"/>
    <w:rsid w:val="00241ACD"/>
    <w:rsid w:val="00241B82"/>
    <w:rsid w:val="00241D59"/>
    <w:rsid w:val="00250173"/>
    <w:rsid w:val="0025412B"/>
    <w:rsid w:val="00273C1D"/>
    <w:rsid w:val="002758C5"/>
    <w:rsid w:val="0028456C"/>
    <w:rsid w:val="00295CEE"/>
    <w:rsid w:val="002963EF"/>
    <w:rsid w:val="002B1743"/>
    <w:rsid w:val="002C557D"/>
    <w:rsid w:val="002C6B0D"/>
    <w:rsid w:val="002E3189"/>
    <w:rsid w:val="002E7BEF"/>
    <w:rsid w:val="00302397"/>
    <w:rsid w:val="003037AB"/>
    <w:rsid w:val="003273F4"/>
    <w:rsid w:val="003449E5"/>
    <w:rsid w:val="00351AEA"/>
    <w:rsid w:val="0037589F"/>
    <w:rsid w:val="0037726E"/>
    <w:rsid w:val="00393450"/>
    <w:rsid w:val="00393C54"/>
    <w:rsid w:val="0039460E"/>
    <w:rsid w:val="00397D64"/>
    <w:rsid w:val="003B42C9"/>
    <w:rsid w:val="003C150C"/>
    <w:rsid w:val="003C3569"/>
    <w:rsid w:val="003C7DD6"/>
    <w:rsid w:val="003D65F4"/>
    <w:rsid w:val="003E7DF0"/>
    <w:rsid w:val="0041314B"/>
    <w:rsid w:val="00413F2D"/>
    <w:rsid w:val="0041715E"/>
    <w:rsid w:val="00431C9B"/>
    <w:rsid w:val="0043779C"/>
    <w:rsid w:val="004404A8"/>
    <w:rsid w:val="00442507"/>
    <w:rsid w:val="00482A93"/>
    <w:rsid w:val="00494F0D"/>
    <w:rsid w:val="0049502B"/>
    <w:rsid w:val="004D0F4B"/>
    <w:rsid w:val="004E4278"/>
    <w:rsid w:val="004F2593"/>
    <w:rsid w:val="00501138"/>
    <w:rsid w:val="00514F02"/>
    <w:rsid w:val="00524A86"/>
    <w:rsid w:val="00525E83"/>
    <w:rsid w:val="00531A78"/>
    <w:rsid w:val="0053419A"/>
    <w:rsid w:val="00545673"/>
    <w:rsid w:val="005615AE"/>
    <w:rsid w:val="00563B89"/>
    <w:rsid w:val="0056462A"/>
    <w:rsid w:val="00565C46"/>
    <w:rsid w:val="00565DBD"/>
    <w:rsid w:val="005738A4"/>
    <w:rsid w:val="00577E4F"/>
    <w:rsid w:val="005823A7"/>
    <w:rsid w:val="005B0BC6"/>
    <w:rsid w:val="005B7106"/>
    <w:rsid w:val="005C1596"/>
    <w:rsid w:val="005D21D8"/>
    <w:rsid w:val="00607154"/>
    <w:rsid w:val="0062541E"/>
    <w:rsid w:val="00657616"/>
    <w:rsid w:val="00661AE0"/>
    <w:rsid w:val="006661E0"/>
    <w:rsid w:val="00667A1E"/>
    <w:rsid w:val="00683B1E"/>
    <w:rsid w:val="00684712"/>
    <w:rsid w:val="006870DE"/>
    <w:rsid w:val="00693E1C"/>
    <w:rsid w:val="006A684A"/>
    <w:rsid w:val="006A7D15"/>
    <w:rsid w:val="006B4E91"/>
    <w:rsid w:val="006C07B1"/>
    <w:rsid w:val="006E1F6E"/>
    <w:rsid w:val="006F4D4A"/>
    <w:rsid w:val="00700A13"/>
    <w:rsid w:val="007052EA"/>
    <w:rsid w:val="00707C36"/>
    <w:rsid w:val="007376B1"/>
    <w:rsid w:val="00740001"/>
    <w:rsid w:val="00754670"/>
    <w:rsid w:val="00765552"/>
    <w:rsid w:val="007672A0"/>
    <w:rsid w:val="00772137"/>
    <w:rsid w:val="00772891"/>
    <w:rsid w:val="007851AD"/>
    <w:rsid w:val="007A6D10"/>
    <w:rsid w:val="007D0B63"/>
    <w:rsid w:val="007E6596"/>
    <w:rsid w:val="007F080A"/>
    <w:rsid w:val="007F404D"/>
    <w:rsid w:val="00810B19"/>
    <w:rsid w:val="0081656A"/>
    <w:rsid w:val="00820340"/>
    <w:rsid w:val="00832DDE"/>
    <w:rsid w:val="00835C21"/>
    <w:rsid w:val="00836ED9"/>
    <w:rsid w:val="008410D6"/>
    <w:rsid w:val="008450FD"/>
    <w:rsid w:val="008528CF"/>
    <w:rsid w:val="008622C3"/>
    <w:rsid w:val="0089269B"/>
    <w:rsid w:val="00894391"/>
    <w:rsid w:val="008945CF"/>
    <w:rsid w:val="00896AA9"/>
    <w:rsid w:val="008A1C34"/>
    <w:rsid w:val="008B752F"/>
    <w:rsid w:val="008D118E"/>
    <w:rsid w:val="008E42C8"/>
    <w:rsid w:val="008F072E"/>
    <w:rsid w:val="008F1221"/>
    <w:rsid w:val="008F6D34"/>
    <w:rsid w:val="0090151D"/>
    <w:rsid w:val="00903BC0"/>
    <w:rsid w:val="0091258C"/>
    <w:rsid w:val="009154EA"/>
    <w:rsid w:val="00915A31"/>
    <w:rsid w:val="0092371C"/>
    <w:rsid w:val="00944D10"/>
    <w:rsid w:val="009478E9"/>
    <w:rsid w:val="00947DA1"/>
    <w:rsid w:val="009508BA"/>
    <w:rsid w:val="0095792A"/>
    <w:rsid w:val="00970FDE"/>
    <w:rsid w:val="009977EC"/>
    <w:rsid w:val="009A570C"/>
    <w:rsid w:val="009A6D3B"/>
    <w:rsid w:val="009B784D"/>
    <w:rsid w:val="009F4B8C"/>
    <w:rsid w:val="009F79E2"/>
    <w:rsid w:val="00A061F1"/>
    <w:rsid w:val="00A10B0A"/>
    <w:rsid w:val="00A14DB5"/>
    <w:rsid w:val="00A17D0F"/>
    <w:rsid w:val="00A253A6"/>
    <w:rsid w:val="00A427B9"/>
    <w:rsid w:val="00A47C9F"/>
    <w:rsid w:val="00A47D7B"/>
    <w:rsid w:val="00A56A32"/>
    <w:rsid w:val="00A621F5"/>
    <w:rsid w:val="00A6770A"/>
    <w:rsid w:val="00A755D8"/>
    <w:rsid w:val="00A8530F"/>
    <w:rsid w:val="00AB5602"/>
    <w:rsid w:val="00AB75A7"/>
    <w:rsid w:val="00AC2140"/>
    <w:rsid w:val="00AC2C25"/>
    <w:rsid w:val="00AE19D1"/>
    <w:rsid w:val="00AE200E"/>
    <w:rsid w:val="00B026E5"/>
    <w:rsid w:val="00B246A1"/>
    <w:rsid w:val="00B24B46"/>
    <w:rsid w:val="00B2637C"/>
    <w:rsid w:val="00B40BD1"/>
    <w:rsid w:val="00B44F22"/>
    <w:rsid w:val="00B4780B"/>
    <w:rsid w:val="00B75C77"/>
    <w:rsid w:val="00B96580"/>
    <w:rsid w:val="00BA1A6D"/>
    <w:rsid w:val="00BB03EB"/>
    <w:rsid w:val="00BC1FA0"/>
    <w:rsid w:val="00BD2EE2"/>
    <w:rsid w:val="00BD3A22"/>
    <w:rsid w:val="00BD6F65"/>
    <w:rsid w:val="00BE3E51"/>
    <w:rsid w:val="00C002F3"/>
    <w:rsid w:val="00C011A2"/>
    <w:rsid w:val="00C26508"/>
    <w:rsid w:val="00C26EA0"/>
    <w:rsid w:val="00C26EB4"/>
    <w:rsid w:val="00C36C5C"/>
    <w:rsid w:val="00C40A73"/>
    <w:rsid w:val="00C42BD9"/>
    <w:rsid w:val="00C960C4"/>
    <w:rsid w:val="00CA43A5"/>
    <w:rsid w:val="00CB0F15"/>
    <w:rsid w:val="00CB3616"/>
    <w:rsid w:val="00CC0BBA"/>
    <w:rsid w:val="00CE3D7F"/>
    <w:rsid w:val="00CE6819"/>
    <w:rsid w:val="00CF7976"/>
    <w:rsid w:val="00D27DF9"/>
    <w:rsid w:val="00D324CA"/>
    <w:rsid w:val="00D37CDF"/>
    <w:rsid w:val="00D5308B"/>
    <w:rsid w:val="00D62AF5"/>
    <w:rsid w:val="00D773E9"/>
    <w:rsid w:val="00D81ECF"/>
    <w:rsid w:val="00D855C8"/>
    <w:rsid w:val="00D87668"/>
    <w:rsid w:val="00D91796"/>
    <w:rsid w:val="00D937C1"/>
    <w:rsid w:val="00D968FB"/>
    <w:rsid w:val="00DA34EE"/>
    <w:rsid w:val="00DA47F8"/>
    <w:rsid w:val="00DA60E4"/>
    <w:rsid w:val="00DB2B58"/>
    <w:rsid w:val="00DB741B"/>
    <w:rsid w:val="00DC05DC"/>
    <w:rsid w:val="00DC55B2"/>
    <w:rsid w:val="00DD236F"/>
    <w:rsid w:val="00DE1D1C"/>
    <w:rsid w:val="00DE3182"/>
    <w:rsid w:val="00DE38E1"/>
    <w:rsid w:val="00E05699"/>
    <w:rsid w:val="00E06938"/>
    <w:rsid w:val="00E3064A"/>
    <w:rsid w:val="00E330BC"/>
    <w:rsid w:val="00E3568F"/>
    <w:rsid w:val="00E41AB7"/>
    <w:rsid w:val="00E4455D"/>
    <w:rsid w:val="00E47D36"/>
    <w:rsid w:val="00E509D3"/>
    <w:rsid w:val="00E65AD7"/>
    <w:rsid w:val="00E67527"/>
    <w:rsid w:val="00E7191E"/>
    <w:rsid w:val="00E87088"/>
    <w:rsid w:val="00E91D5C"/>
    <w:rsid w:val="00E927F2"/>
    <w:rsid w:val="00E93954"/>
    <w:rsid w:val="00E97DDE"/>
    <w:rsid w:val="00EA559D"/>
    <w:rsid w:val="00EA5AF0"/>
    <w:rsid w:val="00EB5DE5"/>
    <w:rsid w:val="00EE1F5D"/>
    <w:rsid w:val="00EE6C2B"/>
    <w:rsid w:val="00EF1840"/>
    <w:rsid w:val="00F16316"/>
    <w:rsid w:val="00F169C9"/>
    <w:rsid w:val="00F441A3"/>
    <w:rsid w:val="00F476CB"/>
    <w:rsid w:val="00F67272"/>
    <w:rsid w:val="00F70A65"/>
    <w:rsid w:val="00FC2337"/>
    <w:rsid w:val="00F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08A29-1951-44C6-A043-172646BF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73"/>
  </w:style>
  <w:style w:type="paragraph" w:styleId="Heading1">
    <w:name w:val="heading 1"/>
    <w:basedOn w:val="Normal"/>
    <w:next w:val="Normal"/>
    <w:link w:val="Heading1Char"/>
    <w:uiPriority w:val="9"/>
    <w:qFormat/>
    <w:rsid w:val="00C26508"/>
    <w:pPr>
      <w:keepNext/>
      <w:keepLines/>
      <w:spacing w:after="20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C26508"/>
    <w:pPr>
      <w:widowControl w:val="0"/>
      <w:spacing w:before="240" w:after="120"/>
      <w:ind w:left="648" w:hanging="648"/>
      <w:outlineLvl w:val="1"/>
    </w:pPr>
    <w:rPr>
      <w:rFonts w:ascii="Arial" w:eastAsia="Arial" w:hAnsi="Arial"/>
      <w:b/>
      <w:bCs/>
      <w:sz w:val="24"/>
      <w:szCs w:val="3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508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26508"/>
    <w:rPr>
      <w:rFonts w:ascii="Arial" w:eastAsia="Arial" w:hAnsi="Arial"/>
      <w:b/>
      <w:bCs/>
      <w:sz w:val="24"/>
      <w:szCs w:val="30"/>
      <w:lang w:val="en-CA"/>
    </w:rPr>
  </w:style>
  <w:style w:type="paragraph" w:styleId="ListParagraph">
    <w:name w:val="List Paragraph"/>
    <w:basedOn w:val="Normal"/>
    <w:uiPriority w:val="34"/>
    <w:qFormat/>
    <w:rsid w:val="00C26508"/>
    <w:pPr>
      <w:ind w:left="720"/>
      <w:contextualSpacing/>
    </w:pPr>
  </w:style>
  <w:style w:type="table" w:styleId="TableGrid">
    <w:name w:val="Table Grid"/>
    <w:basedOn w:val="TableNormal"/>
    <w:uiPriority w:val="39"/>
    <w:rsid w:val="00CF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32"/>
    <w:pPr>
      <w:spacing w:after="0" w:line="240" w:lineRule="auto"/>
    </w:pPr>
    <w:rPr>
      <w:rFonts w:ascii="Segoe UI" w:eastAsia="Helvetica" w:hAnsi="Segoe UI" w:cs="Segoe UI"/>
      <w:sz w:val="18"/>
      <w:szCs w:val="18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2"/>
    <w:rPr>
      <w:rFonts w:ascii="Segoe UI" w:eastAsia="Helvetica" w:hAnsi="Segoe UI" w:cs="Segoe UI"/>
      <w:sz w:val="18"/>
      <w:szCs w:val="18"/>
      <w:lang w:val="bg-BG"/>
    </w:rPr>
  </w:style>
  <w:style w:type="character" w:customStyle="1" w:styleId="normaltextrun">
    <w:name w:val="normaltextrun"/>
    <w:basedOn w:val="DefaultParagraphFont"/>
    <w:rsid w:val="00A56A32"/>
  </w:style>
  <w:style w:type="paragraph" w:customStyle="1" w:styleId="norm">
    <w:name w:val="norm"/>
    <w:basedOn w:val="Normal"/>
    <w:link w:val="normChar"/>
    <w:rsid w:val="00F163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F16316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97D64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397D64"/>
    <w:rPr>
      <w:rFonts w:ascii="Arial" w:eastAsia="Times New Roman" w:hAnsi="Arial" w:cs="Times New Roman"/>
      <w:sz w:val="20"/>
      <w:szCs w:val="20"/>
      <w:lang w:val="es-ES_tradnl"/>
    </w:rPr>
  </w:style>
  <w:style w:type="paragraph" w:customStyle="1" w:styleId="paragraph">
    <w:name w:val="paragraph"/>
    <w:basedOn w:val="Normal"/>
    <w:rsid w:val="0025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F4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8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A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30C3236710048A88F9F193D0DD5EC" ma:contentTypeVersion="8" ma:contentTypeDescription="Create a new document." ma:contentTypeScope="" ma:versionID="5b771d442be2e0374935c19b51b1609d">
  <xsd:schema xmlns:xsd="http://www.w3.org/2001/XMLSchema" xmlns:xs="http://www.w3.org/2001/XMLSchema" xmlns:p="http://schemas.microsoft.com/office/2006/metadata/properties" xmlns:ns1="http://schemas.microsoft.com/sharepoint/v3" xmlns:ns2="3ace6ce0-8623-47ac-b96c-4a288c96ffae" xmlns:ns3="http://schemas.microsoft.com/sharepoint/v4" xmlns:ns4="17ec9708-a9cf-45d3-9d9d-fa1f619297de" targetNamespace="http://schemas.microsoft.com/office/2006/metadata/properties" ma:root="true" ma:fieldsID="a0d49e630fa973116b9d1ae6e951ee61" ns1:_="" ns2:_="" ns3:_="" ns4:_="">
    <xsd:import namespace="http://schemas.microsoft.com/sharepoint/v3"/>
    <xsd:import namespace="3ace6ce0-8623-47ac-b96c-4a288c96ffae"/>
    <xsd:import namespace="http://schemas.microsoft.com/sharepoint/v4"/>
    <xsd:import namespace="17ec9708-a9cf-45d3-9d9d-fa1f619297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6ce0-8623-47ac-b96c-4a288c96f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708-a9cf-45d3-9d9d-fa1f61929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3424-D2C7-4D86-84E9-C08E9EAE79C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479C16-D392-464F-B90E-4299EFD2A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46485-B9D4-4A99-BA53-72C2C231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e6ce0-8623-47ac-b96c-4a288c96ffae"/>
    <ds:schemaRef ds:uri="http://schemas.microsoft.com/sharepoint/v4"/>
    <ds:schemaRef ds:uri="17ec9708-a9cf-45d3-9d9d-fa1f6192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13A14-B0E0-4D92-B88F-B76E152C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Kolp</dc:creator>
  <cp:lastModifiedBy>Lilit Tunyan</cp:lastModifiedBy>
  <cp:revision>7</cp:revision>
  <cp:lastPrinted>2017-03-27T10:04:00Z</cp:lastPrinted>
  <dcterms:created xsi:type="dcterms:W3CDTF">2017-11-24T10:57:00Z</dcterms:created>
  <dcterms:modified xsi:type="dcterms:W3CDTF">2017-11-28T07:14:00Z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0x010100A3D30C3236710048A88F9F193D0DD5EC</vt:lpwstr>
  </property>
</Properties>
</file>