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48" w:rsidRPr="003D6530" w:rsidRDefault="002E0948" w:rsidP="00015471">
      <w:pPr>
        <w:jc w:val="center"/>
        <w:rPr>
          <w:rFonts w:ascii="GHEA Grapalat" w:hAnsi="GHEA Grapalat" w:cs="IRTEK Courier"/>
          <w:b/>
          <w:sz w:val="24"/>
          <w:szCs w:val="24"/>
          <w:lang w:val="pt-B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2E0948" w:rsidRPr="00213482" w:rsidRDefault="002E0948" w:rsidP="001E60A8">
      <w:pPr>
        <w:tabs>
          <w:tab w:val="left" w:pos="851"/>
        </w:tabs>
        <w:ind w:firstLine="56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ՎԱՅՈՑ ՁՈՐԻ</w:t>
      </w:r>
      <w:r w:rsidRPr="00213482">
        <w:rPr>
          <w:rFonts w:ascii="GHEA Grapalat" w:hAnsi="GHEA Grapalat"/>
          <w:b/>
          <w:sz w:val="24"/>
          <w:szCs w:val="24"/>
          <w:lang w:val="en-US"/>
        </w:rPr>
        <w:t xml:space="preserve"> ՄԱՐԶ</w:t>
      </w:r>
      <w:r>
        <w:rPr>
          <w:rFonts w:ascii="GHEA Grapalat" w:hAnsi="GHEA Grapalat"/>
          <w:b/>
          <w:sz w:val="24"/>
          <w:szCs w:val="24"/>
          <w:lang w:val="en-US"/>
        </w:rPr>
        <w:t>Պ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ԵՏԱՐԱՆԻՆ ԳՈՒՄԱՐ ՀԱՏԿԱՑՆԵԼՈՒ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>ԵՎ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ՀԱՅԱՍՏԱՆԻ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ՀԱՆՐԱՊԵՏՈՒԹՅԱՆ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ԿԱՌԱՎԱՐՈՒԹՅԱՆ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2014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ԹՎԱԿԱՆԻ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ԴԵԿՏԵՄԲԵՐԻ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18-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Ի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1515-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ՈՐՈՇՄԱՆ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ՄԵՋ</w:t>
      </w:r>
      <w:r w:rsidRPr="0021348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</w:rPr>
        <w:t>ԼՐԱՑՈՒՄ</w:t>
      </w:r>
      <w:r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ՆԵՐ</w:t>
      </w:r>
      <w:r w:rsidRPr="00213482">
        <w:rPr>
          <w:rStyle w:val="Strong"/>
          <w:rFonts w:ascii="GHEA Grapalat" w:hAnsi="GHEA Grapalat" w:cs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13482">
        <w:rPr>
          <w:rFonts w:ascii="GHEA Grapalat" w:hAnsi="GHEA Grapalat"/>
          <w:b/>
          <w:sz w:val="24"/>
          <w:szCs w:val="24"/>
          <w:lang w:val="en-US"/>
        </w:rPr>
        <w:t>ԿԱՏԱՐԵԼՈՒ ՄԱՍԻՆ</w:t>
      </w:r>
    </w:p>
    <w:p w:rsidR="002E0948" w:rsidRPr="003D6530" w:rsidRDefault="002E0948" w:rsidP="00015471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3D6530">
        <w:rPr>
          <w:rFonts w:ascii="GHEA Grapalat" w:hAnsi="GHEA Grapalat"/>
          <w:b/>
          <w:sz w:val="24"/>
          <w:szCs w:val="24"/>
        </w:rPr>
        <w:t>Անհրաժեշտությունը</w:t>
      </w:r>
    </w:p>
    <w:p w:rsidR="002E0948" w:rsidRPr="00492AB1" w:rsidRDefault="002E0948" w:rsidP="00484CD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01547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Նախագծի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անհրաժեշտությունը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պայմանավորված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է</w:t>
      </w:r>
      <w:r w:rsidRPr="00CC062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ՀՀ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Վայոց</w:t>
      </w:r>
      <w:r w:rsidRPr="00492A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ձորի</w:t>
      </w:r>
      <w:r>
        <w:rPr>
          <w:rFonts w:ascii="GHEA Grapalat" w:hAnsi="GHEA Grapalat"/>
          <w:sz w:val="24"/>
          <w:szCs w:val="24"/>
          <w:lang w:val="fr-FR"/>
        </w:rPr>
        <w:t xml:space="preserve"> մարզի </w:t>
      </w:r>
      <w:r>
        <w:rPr>
          <w:rFonts w:ascii="GHEA Grapalat" w:hAnsi="GHEA Grapalat"/>
          <w:sz w:val="24"/>
          <w:szCs w:val="24"/>
        </w:rPr>
        <w:t>Վայք</w:t>
      </w:r>
      <w:r w:rsidRPr="00492A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համայնքում</w:t>
      </w:r>
      <w:r w:rsidRPr="00492AB1">
        <w:rPr>
          <w:rFonts w:ascii="GHEA Grapalat" w:hAnsi="GHEA Grapalat"/>
          <w:sz w:val="24"/>
          <w:szCs w:val="24"/>
        </w:rPr>
        <w:t xml:space="preserve"> մարզադպրոցի վերանորոգման և համայնքային նշանակության այգու բարեկարգման </w:t>
      </w:r>
      <w:r w:rsidRPr="00CC062A">
        <w:rPr>
          <w:rFonts w:ascii="GHEA Grapalat" w:hAnsi="GHEA Grapalat"/>
          <w:sz w:val="24"/>
          <w:szCs w:val="24"/>
        </w:rPr>
        <w:t>աշխատանքների</w:t>
      </w:r>
      <w:r w:rsidRPr="00492AB1">
        <w:rPr>
          <w:rFonts w:ascii="GHEA Grapalat" w:hAnsi="GHEA Grapalat"/>
          <w:sz w:val="24"/>
          <w:szCs w:val="24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կատարմամբ</w:t>
      </w:r>
      <w:r w:rsidRPr="00492AB1">
        <w:rPr>
          <w:rFonts w:ascii="GHEA Grapalat" w:hAnsi="GHEA Grapalat"/>
          <w:sz w:val="24"/>
          <w:szCs w:val="24"/>
        </w:rPr>
        <w:t xml:space="preserve">: </w:t>
      </w:r>
    </w:p>
    <w:p w:rsidR="002E0948" w:rsidRPr="008E7956" w:rsidRDefault="002E0948" w:rsidP="0057344E">
      <w:pPr>
        <w:pStyle w:val="a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CC062A">
        <w:rPr>
          <w:rFonts w:ascii="GHEA Grapalat" w:hAnsi="GHEA Grapalat" w:cs="Sylfaen"/>
          <w:b/>
          <w:sz w:val="24"/>
          <w:szCs w:val="24"/>
        </w:rPr>
        <w:t>Ընթացիկ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իրավիճակը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և</w:t>
      </w:r>
      <w:r w:rsidRPr="00CC062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b/>
          <w:sz w:val="24"/>
          <w:szCs w:val="24"/>
        </w:rPr>
        <w:t>խնդիրները</w:t>
      </w:r>
    </w:p>
    <w:p w:rsidR="002E0948" w:rsidRPr="00CC062A" w:rsidRDefault="002E0948" w:rsidP="008E7956">
      <w:pPr>
        <w:pStyle w:val="a"/>
        <w:spacing w:after="0" w:line="240" w:lineRule="auto"/>
        <w:jc w:val="both"/>
        <w:rPr>
          <w:rFonts w:ascii="GHEA Grapalat" w:hAnsi="GHEA Grapalat"/>
          <w:sz w:val="24"/>
          <w:szCs w:val="24"/>
          <w:lang w:val="fr-FR"/>
        </w:rPr>
      </w:pPr>
    </w:p>
    <w:p w:rsidR="002E0948" w:rsidRPr="006351B8" w:rsidRDefault="002E0948" w:rsidP="00484CDC">
      <w:pPr>
        <w:pStyle w:val="NormalGHEAMariam"/>
        <w:tabs>
          <w:tab w:val="left" w:pos="360"/>
          <w:tab w:val="left" w:pos="9540"/>
        </w:tabs>
        <w:ind w:right="-54"/>
        <w:jc w:val="both"/>
        <w:rPr>
          <w:rFonts w:ascii="Tahoma" w:hAnsi="Tahoma" w:cs="Tahoma"/>
          <w:bCs w:val="0"/>
          <w:sz w:val="24"/>
          <w:szCs w:val="24"/>
          <w:lang w:val="fr-FR"/>
        </w:rPr>
      </w:pPr>
      <w:r w:rsidRPr="00B83D25">
        <w:rPr>
          <w:rFonts w:ascii="GHEA Grapalat" w:hAnsi="GHEA Grapalat"/>
          <w:sz w:val="24"/>
          <w:szCs w:val="24"/>
        </w:rPr>
        <w:t>ՀՀ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Վայոց</w:t>
      </w:r>
      <w:r w:rsidRPr="00492A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ձորի</w:t>
      </w:r>
      <w:r>
        <w:rPr>
          <w:rFonts w:ascii="GHEA Grapalat" w:hAnsi="GHEA Grapalat"/>
          <w:sz w:val="24"/>
          <w:szCs w:val="24"/>
          <w:lang w:val="fr-FR"/>
        </w:rPr>
        <w:t xml:space="preserve"> մարզի </w:t>
      </w:r>
      <w:r>
        <w:rPr>
          <w:rFonts w:ascii="GHEA Grapalat" w:hAnsi="GHEA Grapalat"/>
          <w:sz w:val="24"/>
          <w:szCs w:val="24"/>
        </w:rPr>
        <w:t>Վայք</w:t>
      </w:r>
      <w:r w:rsidRPr="00492AB1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համայնքում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մարզադպրոցի</w:t>
      </w:r>
      <w:r w:rsidRPr="00627AC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վերանորոգման</w:t>
      </w:r>
      <w:r>
        <w:rPr>
          <w:rFonts w:ascii="GHEA Grapalat" w:hAnsi="GHEA Grapalat" w:cs="Times New Roman"/>
          <w:sz w:val="24"/>
          <w:szCs w:val="24"/>
          <w:lang w:val="fr-FR"/>
        </w:rPr>
        <w:t xml:space="preserve"> համար անհրաժեշտություն է առաջացել ՀՀ 2015 թվականի պետական բյուջեով նախատեսված ՀՀ կառավարության պահուստային ֆոնդից </w:t>
      </w:r>
      <w:r w:rsidRPr="006351B8">
        <w:rPr>
          <w:rFonts w:ascii="GHEA Grapalat" w:hAnsi="GHEA Grapalat" w:cs="Times New Roman"/>
          <w:sz w:val="24"/>
          <w:szCs w:val="24"/>
          <w:lang w:val="fr-FR"/>
        </w:rPr>
        <w:t>բյուջետային ծախսերի տնտեսագիտական դասակարգման «Կապիտալ սուբվենցիաներ համայնքներին» հոդվածով</w:t>
      </w:r>
      <w:r>
        <w:rPr>
          <w:rFonts w:ascii="GHEA Grapalat" w:hAnsi="GHEA Grapalat" w:cs="Times New Roman"/>
          <w:sz w:val="24"/>
          <w:szCs w:val="24"/>
          <w:lang w:val="fr-FR"/>
        </w:rPr>
        <w:t xml:space="preserve"> Վայոց ձորի մարզպետարանին հատկացնել 60,000.0 հազար դրամ, ինչպես նաև Վայք համայնքի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համայնքային</w:t>
      </w:r>
      <w:r w:rsidRPr="00627AC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նշանակության</w:t>
      </w:r>
      <w:r w:rsidRPr="00627AC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այգու</w:t>
      </w:r>
      <w:r w:rsidRPr="00627AC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 w:cs="Times New Roman"/>
          <w:sz w:val="24"/>
          <w:szCs w:val="24"/>
          <w:lang w:val="ru-RU"/>
        </w:rPr>
        <w:t>բարեկարգման</w:t>
      </w:r>
      <w:r w:rsidRPr="00627AC4">
        <w:rPr>
          <w:rFonts w:ascii="GHEA Grapalat" w:hAnsi="GHEA Grapalat" w:cs="Times New Roman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աշխատանքների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իրականացման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ևս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անհրաժեշտ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60,000.0 </w:t>
      </w:r>
      <w:r>
        <w:rPr>
          <w:rFonts w:ascii="GHEA Grapalat" w:hAnsi="GHEA Grapalat"/>
          <w:sz w:val="24"/>
          <w:szCs w:val="24"/>
        </w:rPr>
        <w:t>հազար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դրամի</w:t>
      </w:r>
      <w:r w:rsidRPr="00627AC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հատկացում</w:t>
      </w:r>
      <w:r w:rsidRPr="006351B8">
        <w:rPr>
          <w:rFonts w:ascii="GHEA Grapalat" w:hAnsi="GHEA Grapalat"/>
          <w:sz w:val="24"/>
          <w:szCs w:val="24"/>
          <w:lang w:val="fr-FR"/>
        </w:rPr>
        <w:t>:</w:t>
      </w:r>
    </w:p>
    <w:p w:rsidR="002E0948" w:rsidRPr="00B83D25" w:rsidRDefault="002E0948" w:rsidP="0057344E">
      <w:pPr>
        <w:tabs>
          <w:tab w:val="left" w:pos="675"/>
        </w:tabs>
        <w:spacing w:line="240" w:lineRule="auto"/>
        <w:ind w:firstLine="142"/>
        <w:rPr>
          <w:rFonts w:ascii="GHEA Grapalat" w:hAnsi="GHEA Grapalat" w:cs="Sylfaen"/>
          <w:b/>
          <w:spacing w:val="-8"/>
          <w:sz w:val="24"/>
          <w:szCs w:val="24"/>
          <w:lang w:val="fr-FR"/>
        </w:rPr>
      </w:pPr>
      <w:r w:rsidRPr="00B83D2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>3</w:t>
      </w:r>
      <w:r w:rsidRPr="00B83D25">
        <w:rPr>
          <w:rFonts w:ascii="GHEA Grapalat" w:hAnsi="GHEA Grapalat" w:cs="Sylfaen"/>
          <w:spacing w:val="-8"/>
          <w:sz w:val="24"/>
          <w:szCs w:val="24"/>
          <w:lang w:val="fr-FR"/>
        </w:rPr>
        <w:t xml:space="preserve"> .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Տվյալ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բնագավառում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իրականացվող</w:t>
      </w:r>
      <w:r w:rsidRPr="00B83D25">
        <w:rPr>
          <w:rFonts w:ascii="GHEA Grapalat" w:hAnsi="GHEA Grapalat" w:cs="Sylfaen"/>
          <w:b/>
          <w:spacing w:val="-8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 w:cs="Sylfaen"/>
          <w:b/>
          <w:spacing w:val="-8"/>
          <w:sz w:val="24"/>
          <w:szCs w:val="24"/>
        </w:rPr>
        <w:t>քաղաքականությունը</w:t>
      </w:r>
    </w:p>
    <w:p w:rsidR="002E0948" w:rsidRPr="00B83D25" w:rsidRDefault="002E0948" w:rsidP="0057344E">
      <w:pPr>
        <w:tabs>
          <w:tab w:val="left" w:pos="675"/>
        </w:tabs>
        <w:spacing w:line="240" w:lineRule="auto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en-US"/>
        </w:rPr>
        <w:t>Համայնքում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առկա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հրատապ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լուծում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պահանջող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հիմնախնդիրների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լուծում</w:t>
      </w:r>
      <w:r w:rsidRPr="00B83D25">
        <w:rPr>
          <w:rFonts w:ascii="GHEA Grapalat" w:hAnsi="GHEA Grapalat"/>
          <w:sz w:val="24"/>
          <w:szCs w:val="24"/>
          <w:lang w:val="fr-FR"/>
        </w:rPr>
        <w:t>:</w:t>
      </w:r>
    </w:p>
    <w:p w:rsidR="002E0948" w:rsidRPr="00B83D25" w:rsidRDefault="002E0948" w:rsidP="0057344E">
      <w:pPr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83D2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fr-FR"/>
        </w:rPr>
        <w:t>4</w:t>
      </w:r>
      <w:r w:rsidRPr="00B83D25">
        <w:rPr>
          <w:rFonts w:ascii="GHEA Grapalat" w:hAnsi="GHEA Grapalat"/>
          <w:sz w:val="24"/>
          <w:szCs w:val="24"/>
          <w:lang w:val="hy-AM"/>
        </w:rPr>
        <w:t>.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և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  <w:lang w:val="hy-AM"/>
        </w:rPr>
        <w:t>բնույթը</w:t>
      </w:r>
    </w:p>
    <w:p w:rsidR="002E0948" w:rsidRPr="00DD12B3" w:rsidRDefault="002E0948" w:rsidP="00484CDC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B83D25">
        <w:rPr>
          <w:rFonts w:ascii="GHEA Grapalat" w:hAnsi="GHEA Grapalat"/>
          <w:sz w:val="24"/>
          <w:szCs w:val="24"/>
        </w:rPr>
        <w:t>Կարգավորման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նպատակն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է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իրականացնել կապիտալ ծրագրեր </w:t>
      </w:r>
      <w:r w:rsidRPr="00B83D25">
        <w:rPr>
          <w:rFonts w:ascii="GHEA Grapalat" w:hAnsi="GHEA Grapalat"/>
          <w:sz w:val="24"/>
          <w:szCs w:val="24"/>
        </w:rPr>
        <w:t>ՀՀ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Վայոց ձորի մարզի Վայք համայնքում: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2E0948" w:rsidRPr="00B83D25" w:rsidRDefault="002E0948" w:rsidP="0057344E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5. </w:t>
      </w:r>
      <w:r w:rsidRPr="00B83D25">
        <w:rPr>
          <w:rFonts w:ascii="GHEA Grapalat" w:hAnsi="GHEA Grapalat"/>
          <w:b/>
          <w:sz w:val="24"/>
          <w:szCs w:val="24"/>
        </w:rPr>
        <w:t>Նախագծի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մշակման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գործընթացում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ներգրավված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ինստիտուտները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և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անձիք</w:t>
      </w:r>
    </w:p>
    <w:p w:rsidR="002E0948" w:rsidRPr="0068714A" w:rsidRDefault="002E0948" w:rsidP="00484CDC">
      <w:pPr>
        <w:tabs>
          <w:tab w:val="left" w:pos="675"/>
        </w:tabs>
        <w:spacing w:line="360" w:lineRule="auto"/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r w:rsidRPr="00015471">
        <w:rPr>
          <w:rFonts w:ascii="GHEA Grapalat" w:hAnsi="GHEA Grapalat"/>
          <w:sz w:val="24"/>
          <w:szCs w:val="24"/>
          <w:lang w:val="fr-FR"/>
        </w:rPr>
        <w:tab/>
      </w:r>
      <w:r w:rsidRPr="00B83D25">
        <w:rPr>
          <w:rFonts w:ascii="GHEA Grapalat" w:hAnsi="GHEA Grapalat"/>
          <w:sz w:val="24"/>
          <w:szCs w:val="24"/>
        </w:rPr>
        <w:t>Նախագծի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մշակումը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իրականացրել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է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ՀՀ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տարածքային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կառավարման</w:t>
      </w:r>
      <w:r w:rsidRPr="0068714A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 xml:space="preserve">և արտակարգ իրավիճակների </w:t>
      </w:r>
      <w:r w:rsidRPr="00B83D25">
        <w:rPr>
          <w:rFonts w:ascii="GHEA Grapalat" w:hAnsi="GHEA Grapalat"/>
          <w:sz w:val="24"/>
          <w:szCs w:val="24"/>
        </w:rPr>
        <w:t>նախարարությունը։</w:t>
      </w:r>
    </w:p>
    <w:p w:rsidR="002E0948" w:rsidRPr="00B83D25" w:rsidRDefault="002E0948" w:rsidP="0057344E">
      <w:pPr>
        <w:tabs>
          <w:tab w:val="left" w:pos="675"/>
        </w:tabs>
        <w:spacing w:line="240" w:lineRule="auto"/>
        <w:rPr>
          <w:rFonts w:ascii="GHEA Grapalat" w:hAnsi="GHEA Grapalat"/>
          <w:b/>
          <w:sz w:val="24"/>
          <w:szCs w:val="24"/>
          <w:lang w:val="fr-FR"/>
        </w:rPr>
      </w:pP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6.</w:t>
      </w:r>
      <w:r w:rsidRPr="00B83D25">
        <w:rPr>
          <w:rFonts w:ascii="GHEA Grapalat" w:hAnsi="GHEA Grapalat"/>
          <w:b/>
          <w:sz w:val="24"/>
          <w:szCs w:val="24"/>
          <w:lang w:val="fr-FR"/>
        </w:rPr>
        <w:tab/>
      </w:r>
      <w:r w:rsidRPr="00B83D25">
        <w:rPr>
          <w:rFonts w:ascii="GHEA Grapalat" w:hAnsi="GHEA Grapalat"/>
          <w:b/>
          <w:sz w:val="24"/>
          <w:szCs w:val="24"/>
        </w:rPr>
        <w:t>Ակնկալվող</w:t>
      </w:r>
      <w:r w:rsidRPr="00B83D25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b/>
          <w:sz w:val="24"/>
          <w:szCs w:val="24"/>
        </w:rPr>
        <w:t>արդյունքը</w:t>
      </w:r>
    </w:p>
    <w:p w:rsidR="002E0948" w:rsidRPr="00627AC4" w:rsidRDefault="002E0948" w:rsidP="00627AC4">
      <w:pPr>
        <w:tabs>
          <w:tab w:val="left" w:pos="675"/>
        </w:tabs>
        <w:spacing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015471">
        <w:rPr>
          <w:rFonts w:ascii="GHEA Grapalat" w:hAnsi="GHEA Grapalat"/>
          <w:sz w:val="24"/>
          <w:szCs w:val="24"/>
          <w:lang w:val="fr-FR"/>
        </w:rPr>
        <w:tab/>
      </w:r>
      <w:r w:rsidRPr="00B83D25">
        <w:rPr>
          <w:rFonts w:ascii="GHEA Grapalat" w:hAnsi="GHEA Grapalat"/>
          <w:sz w:val="24"/>
          <w:szCs w:val="24"/>
        </w:rPr>
        <w:t>Նախագծի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B83D25">
        <w:rPr>
          <w:rFonts w:ascii="GHEA Grapalat" w:hAnsi="GHEA Grapalat"/>
          <w:sz w:val="24"/>
          <w:szCs w:val="24"/>
        </w:rPr>
        <w:t>ընդունմամբ</w:t>
      </w:r>
      <w:r w:rsidRPr="00DD12B3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կիրականացվեն</w:t>
      </w:r>
      <w:r w:rsidRPr="008D732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Վայք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համայնքի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մարզադպրոցի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/>
          <w:sz w:val="24"/>
          <w:szCs w:val="24"/>
        </w:rPr>
        <w:t>համայնքային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/>
          <w:sz w:val="24"/>
          <w:szCs w:val="24"/>
        </w:rPr>
        <w:t>նշանակության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/>
          <w:sz w:val="24"/>
          <w:szCs w:val="24"/>
        </w:rPr>
        <w:t>այգու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492AB1">
        <w:rPr>
          <w:rFonts w:ascii="GHEA Grapalat" w:hAnsi="GHEA Grapalat"/>
          <w:sz w:val="24"/>
          <w:szCs w:val="24"/>
        </w:rPr>
        <w:t>բարեկարգման</w:t>
      </w:r>
      <w:r w:rsidRPr="006351B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C062A">
        <w:rPr>
          <w:rFonts w:ascii="GHEA Grapalat" w:hAnsi="GHEA Grapalat"/>
          <w:sz w:val="24"/>
          <w:szCs w:val="24"/>
        </w:rPr>
        <w:t>աշխատանքներ</w:t>
      </w:r>
      <w:r w:rsidRPr="008D7328">
        <w:rPr>
          <w:rFonts w:ascii="GHEA Grapalat" w:hAnsi="GHEA Grapalat"/>
          <w:sz w:val="24"/>
          <w:szCs w:val="24"/>
          <w:lang w:val="fr-FR"/>
        </w:rPr>
        <w:t>:</w:t>
      </w:r>
    </w:p>
    <w:p w:rsidR="002E0948" w:rsidRPr="008E7956" w:rsidRDefault="002E0948" w:rsidP="0001547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</w:p>
    <w:p w:rsidR="002E0948" w:rsidRPr="003D6530" w:rsidRDefault="002E0948" w:rsidP="0001547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2E0948" w:rsidRPr="003D6530" w:rsidRDefault="002E0948" w:rsidP="0001547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2E0948" w:rsidRDefault="002E0948" w:rsidP="00763604">
      <w:pPr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af-ZA"/>
        </w:rPr>
        <w:t>Վայոց ձորի մարզպետարանին գումար հատկացնելու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sz w:val="24"/>
          <w:szCs w:val="24"/>
          <w:lang w:val="af-ZA"/>
        </w:rPr>
        <w:t>4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թվականի դեկտեմբերի </w:t>
      </w:r>
      <w:r w:rsidRPr="00E31BDF">
        <w:rPr>
          <w:rFonts w:ascii="GHEA Grapalat" w:hAnsi="GHEA Grapalat"/>
          <w:sz w:val="24"/>
          <w:szCs w:val="24"/>
          <w:lang w:val="fr-FR"/>
        </w:rPr>
        <w:t>1</w:t>
      </w:r>
      <w:r>
        <w:rPr>
          <w:rFonts w:ascii="GHEA Grapalat" w:hAnsi="GHEA Grapalat"/>
          <w:sz w:val="24"/>
          <w:szCs w:val="24"/>
          <w:lang w:val="fr-FR"/>
        </w:rPr>
        <w:t>8</w:t>
      </w:r>
      <w:r w:rsidRPr="003D6530">
        <w:rPr>
          <w:rFonts w:ascii="GHEA Grapalat" w:hAnsi="GHEA Grapalat"/>
          <w:sz w:val="24"/>
          <w:szCs w:val="24"/>
          <w:lang w:val="af-ZA"/>
        </w:rPr>
        <w:t>-ի N 1</w:t>
      </w:r>
      <w:r>
        <w:rPr>
          <w:rFonts w:ascii="GHEA Grapalat" w:hAnsi="GHEA Grapalat"/>
          <w:sz w:val="24"/>
          <w:szCs w:val="24"/>
          <w:lang w:val="af-ZA"/>
        </w:rPr>
        <w:t>515</w:t>
      </w:r>
      <w:r w:rsidRPr="003D6530">
        <w:rPr>
          <w:rFonts w:ascii="GHEA Grapalat" w:hAnsi="GHEA Grapalat"/>
          <w:sz w:val="24"/>
          <w:szCs w:val="24"/>
          <w:lang w:val="af-ZA"/>
        </w:rPr>
        <w:t>-Ն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E31BDF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3D6530">
        <w:rPr>
          <w:rFonts w:ascii="GHEA Grapalat" w:hAnsi="GHEA Grapalat"/>
          <w:sz w:val="24"/>
          <w:szCs w:val="24"/>
          <w:lang w:val="af-ZA"/>
        </w:rPr>
        <w:t xml:space="preserve"> լրացումներ </w:t>
      </w:r>
      <w:r>
        <w:rPr>
          <w:rFonts w:ascii="GHEA Grapalat" w:hAnsi="GHEA Grapalat"/>
          <w:sz w:val="24"/>
          <w:szCs w:val="24"/>
          <w:lang w:val="af-ZA"/>
        </w:rPr>
        <w:t xml:space="preserve">կատարելու </w:t>
      </w:r>
      <w:r w:rsidRPr="003D6530">
        <w:rPr>
          <w:rFonts w:ascii="GHEA Grapalat" w:hAnsi="GHEA Grapalat"/>
          <w:sz w:val="24"/>
          <w:szCs w:val="24"/>
          <w:lang w:val="af-ZA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>»</w:t>
      </w:r>
      <w:r w:rsidRPr="003D65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sz w:val="24"/>
          <w:szCs w:val="24"/>
        </w:rPr>
        <w:t>Հայաստանի</w:t>
      </w:r>
      <w:r w:rsidRPr="003D6530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Pr="003D653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որոշման </w:t>
      </w:r>
      <w:r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 փոփոխություններ և /կամ լրացումներ կատարելու անհրաժեշտություն չկա:</w:t>
      </w:r>
    </w:p>
    <w:p w:rsidR="002E0948" w:rsidRPr="003D6530" w:rsidRDefault="002E0948" w:rsidP="0076360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E0948" w:rsidRPr="00627AC4" w:rsidRDefault="002E0948" w:rsidP="00627AC4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27AC4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2E0948" w:rsidRPr="00627AC4" w:rsidRDefault="002E0948" w:rsidP="0001547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27AC4">
        <w:rPr>
          <w:rFonts w:ascii="GHEA Grapalat" w:hAnsi="GHEA Grapalat" w:cs="Sylfaen"/>
          <w:b/>
          <w:sz w:val="24"/>
          <w:szCs w:val="24"/>
          <w:lang w:val="hy-AM"/>
        </w:rPr>
        <w:t>Իրավական ակտն ընդունելու կապակցությամբ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2E0948" w:rsidRPr="00627AC4" w:rsidRDefault="002E0948" w:rsidP="00627AC4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627AC4">
        <w:rPr>
          <w:rFonts w:ascii="GHEA Grapalat" w:hAnsi="GHEA Grapalat" w:cs="Sylfaen"/>
          <w:sz w:val="24"/>
          <w:szCs w:val="24"/>
          <w:lang w:val="fr-FR"/>
        </w:rPr>
        <w:t>Հայաստանի Հանրապետության Վայոց ձորի մարզպետարանին գումար հատկացնելու և Հայաստանի Հանրապետության կառավարության 2014 թվականի դեկտեմբերի 18-ի N 1515-Ն որոշման մեջ լրացումներ կատարելու մասին» Հայաստանի Հանրապետության կառավարության որոշման նախագծի ընդունման կապակցությամբ  Հայաստանի Հանրապետության պետական բյուջեում ծախսերի և եկամուտների էական ավելացումներ կամ նվազեցումներ չեն սպասվում:</w:t>
      </w:r>
    </w:p>
    <w:p w:rsidR="002E0948" w:rsidRDefault="002E0948" w:rsidP="00015471">
      <w:pPr>
        <w:rPr>
          <w:rFonts w:ascii="GHEA Grapalat" w:hAnsi="GHEA Grapalat" w:cs="Times Armenian"/>
          <w:sz w:val="24"/>
          <w:szCs w:val="24"/>
          <w:lang w:val="af-ZA"/>
        </w:rPr>
      </w:pPr>
    </w:p>
    <w:p w:rsidR="002E0948" w:rsidRDefault="002E0948" w:rsidP="00015471">
      <w:pPr>
        <w:rPr>
          <w:rFonts w:ascii="GHEA Grapalat" w:hAnsi="GHEA Grapalat"/>
          <w:sz w:val="24"/>
          <w:szCs w:val="24"/>
          <w:lang w:val="af-ZA"/>
        </w:rPr>
      </w:pPr>
    </w:p>
    <w:p w:rsidR="002E0948" w:rsidRPr="000F7C72" w:rsidRDefault="002E0948" w:rsidP="00015471">
      <w:pPr>
        <w:rPr>
          <w:rFonts w:ascii="GHEA Grapalat" w:hAnsi="GHEA Grapalat" w:cs="Sylfaen"/>
          <w:sz w:val="24"/>
          <w:szCs w:val="24"/>
          <w:lang w:val="af-ZA"/>
        </w:rPr>
      </w:pPr>
      <w:r w:rsidRPr="000F7C72">
        <w:rPr>
          <w:rFonts w:ascii="GHEA Grapalat" w:hAnsi="GHEA Grapalat" w:cs="Sylfaen"/>
          <w:sz w:val="24"/>
          <w:szCs w:val="24"/>
          <w:lang w:val="af-ZA"/>
        </w:rPr>
        <w:t xml:space="preserve">                           նախարար                                  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                 </w:t>
      </w:r>
      <w:r w:rsidRPr="000F7C72">
        <w:rPr>
          <w:rFonts w:ascii="GHEA Grapalat" w:hAnsi="GHEA Grapalat" w:cs="Sylfaen"/>
          <w:sz w:val="24"/>
          <w:szCs w:val="24"/>
          <w:lang w:val="af-ZA"/>
        </w:rPr>
        <w:t xml:space="preserve">  Ա. Երիցյան</w:t>
      </w:r>
    </w:p>
    <w:sectPr w:rsidR="002E0948" w:rsidRPr="000F7C72" w:rsidSect="006351B8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88D0A57"/>
    <w:multiLevelType w:val="hybridMultilevel"/>
    <w:tmpl w:val="5B38C67C"/>
    <w:lvl w:ilvl="0" w:tplc="307A47B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471"/>
    <w:rsid w:val="00012EC0"/>
    <w:rsid w:val="00015471"/>
    <w:rsid w:val="00023D55"/>
    <w:rsid w:val="000D658F"/>
    <w:rsid w:val="000F6710"/>
    <w:rsid w:val="000F7C72"/>
    <w:rsid w:val="0011258A"/>
    <w:rsid w:val="001504D1"/>
    <w:rsid w:val="00196421"/>
    <w:rsid w:val="001E5D18"/>
    <w:rsid w:val="001E60A8"/>
    <w:rsid w:val="001F15C1"/>
    <w:rsid w:val="00213482"/>
    <w:rsid w:val="0029564E"/>
    <w:rsid w:val="002E0948"/>
    <w:rsid w:val="002E65F9"/>
    <w:rsid w:val="00317407"/>
    <w:rsid w:val="003D6530"/>
    <w:rsid w:val="003E52A5"/>
    <w:rsid w:val="004615B8"/>
    <w:rsid w:val="00484CDC"/>
    <w:rsid w:val="00492AB1"/>
    <w:rsid w:val="00496FA1"/>
    <w:rsid w:val="004E76CF"/>
    <w:rsid w:val="004E7739"/>
    <w:rsid w:val="005142A4"/>
    <w:rsid w:val="0057344E"/>
    <w:rsid w:val="00627AC4"/>
    <w:rsid w:val="006351B8"/>
    <w:rsid w:val="006562DB"/>
    <w:rsid w:val="0068714A"/>
    <w:rsid w:val="00763604"/>
    <w:rsid w:val="007C5A51"/>
    <w:rsid w:val="007D6602"/>
    <w:rsid w:val="008A3717"/>
    <w:rsid w:val="008D7328"/>
    <w:rsid w:val="008E7956"/>
    <w:rsid w:val="008F0965"/>
    <w:rsid w:val="00904D5D"/>
    <w:rsid w:val="009216DF"/>
    <w:rsid w:val="00940995"/>
    <w:rsid w:val="009F0EDB"/>
    <w:rsid w:val="00A32A77"/>
    <w:rsid w:val="00A9693C"/>
    <w:rsid w:val="00B34234"/>
    <w:rsid w:val="00B53BC8"/>
    <w:rsid w:val="00B738C5"/>
    <w:rsid w:val="00B83D25"/>
    <w:rsid w:val="00C3374A"/>
    <w:rsid w:val="00C658E3"/>
    <w:rsid w:val="00CC062A"/>
    <w:rsid w:val="00CE2C98"/>
    <w:rsid w:val="00D34B61"/>
    <w:rsid w:val="00DD12B3"/>
    <w:rsid w:val="00E31BDF"/>
    <w:rsid w:val="00E4291F"/>
    <w:rsid w:val="00E74D5B"/>
    <w:rsid w:val="00E94EAA"/>
    <w:rsid w:val="00F34EF6"/>
    <w:rsid w:val="00FB0A58"/>
    <w:rsid w:val="00FC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471"/>
    <w:pPr>
      <w:spacing w:after="200" w:line="276" w:lineRule="auto"/>
    </w:pPr>
    <w:rPr>
      <w:rFonts w:eastAsia="Times New Roman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Абзац списка"/>
    <w:basedOn w:val="Normal"/>
    <w:uiPriority w:val="99"/>
    <w:rsid w:val="00015471"/>
    <w:pPr>
      <w:ind w:left="720"/>
      <w:contextualSpacing/>
    </w:pPr>
  </w:style>
  <w:style w:type="paragraph" w:styleId="NormalWeb">
    <w:name w:val="Normal (Web)"/>
    <w:basedOn w:val="Normal"/>
    <w:uiPriority w:val="99"/>
    <w:rsid w:val="00015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015471"/>
    <w:rPr>
      <w:rFonts w:cs="Times New Roman"/>
      <w:b/>
    </w:rPr>
  </w:style>
  <w:style w:type="paragraph" w:customStyle="1" w:styleId="mechtex">
    <w:name w:val="mechtex"/>
    <w:basedOn w:val="Normal"/>
    <w:link w:val="mechtexChar"/>
    <w:uiPriority w:val="99"/>
    <w:rsid w:val="00015471"/>
    <w:pPr>
      <w:spacing w:after="0" w:line="240" w:lineRule="auto"/>
      <w:jc w:val="center"/>
    </w:pPr>
    <w:rPr>
      <w:rFonts w:ascii="Arial Armenian" w:hAnsi="Arial Armenian"/>
      <w:sz w:val="20"/>
      <w:szCs w:val="20"/>
      <w:lang w:val="en-US" w:eastAsia="ru-RU"/>
    </w:rPr>
  </w:style>
  <w:style w:type="character" w:customStyle="1" w:styleId="mechtexChar">
    <w:name w:val="mechtex Char"/>
    <w:link w:val="mechtex"/>
    <w:uiPriority w:val="99"/>
    <w:locked/>
    <w:rsid w:val="00015471"/>
    <w:rPr>
      <w:rFonts w:ascii="Arial Armenian" w:hAnsi="Arial Armenian"/>
      <w:sz w:val="20"/>
      <w:lang w:val="en-US" w:eastAsia="ru-RU"/>
    </w:rPr>
  </w:style>
  <w:style w:type="paragraph" w:customStyle="1" w:styleId="NormalGHEAMariam">
    <w:name w:val="Normal + GHEA Mariam"/>
    <w:aliases w:val="12 pt"/>
    <w:basedOn w:val="Normal"/>
    <w:uiPriority w:val="99"/>
    <w:rsid w:val="00015471"/>
    <w:pPr>
      <w:tabs>
        <w:tab w:val="left" w:pos="-1418"/>
      </w:tabs>
      <w:spacing w:after="0" w:line="360" w:lineRule="auto"/>
    </w:pPr>
    <w:rPr>
      <w:rFonts w:ascii="GHEA Mariam" w:hAnsi="GHEA Mariam" w:cs="Sylfaen"/>
      <w:bCs/>
      <w:lang w:val="en-AU"/>
    </w:rPr>
  </w:style>
  <w:style w:type="paragraph" w:styleId="BodyText">
    <w:name w:val="Body Text"/>
    <w:basedOn w:val="Normal"/>
    <w:link w:val="BodyTextChar"/>
    <w:uiPriority w:val="99"/>
    <w:semiHidden/>
    <w:rsid w:val="00015471"/>
    <w:pPr>
      <w:spacing w:after="0" w:line="240" w:lineRule="auto"/>
      <w:jc w:val="both"/>
    </w:pPr>
    <w:rPr>
      <w:rFonts w:ascii="Times Armenian" w:hAnsi="Times Armeni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15471"/>
    <w:rPr>
      <w:rFonts w:ascii="Times Armenian" w:hAnsi="Times Armeni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99"/>
    <w:qFormat/>
    <w:rsid w:val="007D6602"/>
    <w:pPr>
      <w:spacing w:after="0" w:line="240" w:lineRule="auto"/>
      <w:ind w:left="720"/>
      <w:contextualSpacing/>
      <w:jc w:val="center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2</Pages>
  <Words>390</Words>
  <Characters>2228</Characters>
  <Application>Microsoft Office Outlook</Application>
  <DocSecurity>0</DocSecurity>
  <Lines>0</Lines>
  <Paragraphs>0</Paragraphs>
  <ScaleCrop>false</ScaleCrop>
  <Company>Evricomp, Yerevan Kasyan1, Tel. (010) 27 44 72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32</cp:revision>
  <cp:lastPrinted>2015-08-05T07:09:00Z</cp:lastPrinted>
  <dcterms:created xsi:type="dcterms:W3CDTF">2015-07-27T13:55:00Z</dcterms:created>
  <dcterms:modified xsi:type="dcterms:W3CDTF">2015-08-17T05:37:00Z</dcterms:modified>
</cp:coreProperties>
</file>