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A24D4D" w:rsidRDefault="00A24D4D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B37F54" w:rsidRPr="00A24D4D" w:rsidRDefault="00B37F54" w:rsidP="00A24D4D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 w:rsidR="00A24D4D">
        <w:rPr>
          <w:rFonts w:ascii="GHEA Grapalat" w:hAnsi="GHEA Grapalat" w:cs="Sylfaen"/>
          <w:b/>
          <w:sz w:val="24"/>
          <w:szCs w:val="24"/>
          <w:lang w:val="pt-BR"/>
        </w:rPr>
        <w:t>Գ</w:t>
      </w:r>
      <w:r w:rsidR="00A24D4D" w:rsidRPr="00A24D4D">
        <w:rPr>
          <w:rFonts w:ascii="GHEA Grapalat" w:hAnsi="GHEA Grapalat" w:cs="Sylfaen"/>
          <w:b/>
          <w:sz w:val="24"/>
          <w:szCs w:val="24"/>
          <w:lang w:val="pt-BR"/>
        </w:rPr>
        <w:t>նման պայմանագրում փոփոխություն կատարելու թույլտվություն տալու մասին</w:t>
      </w:r>
      <w:r w:rsidRPr="00A24D4D">
        <w:rPr>
          <w:rFonts w:ascii="GHEA Grapalat" w:hAnsi="GHEA Grapalat" w:cs="Sylfaen"/>
          <w:b/>
          <w:sz w:val="24"/>
          <w:szCs w:val="24"/>
          <w:lang w:val="pt-BR"/>
        </w:rPr>
        <w:t>&gt; 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146D9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D93" w:rsidRPr="00A64383" w:rsidRDefault="00146D9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D93" w:rsidRPr="00A64383" w:rsidRDefault="00146D93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D93" w:rsidRPr="00A64383" w:rsidRDefault="00146D9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</w:tbl>
    <w:p w:rsidR="000F5FFB" w:rsidRPr="00A64383" w:rsidRDefault="000F5FFB">
      <w:pPr>
        <w:rPr>
          <w:rFonts w:ascii="GHEA Grapalat" w:hAnsi="GHEA Grapalat"/>
          <w:sz w:val="22"/>
          <w:szCs w:val="22"/>
        </w:rPr>
      </w:pPr>
      <w:bookmarkStart w:id="0" w:name="_GoBack"/>
      <w:bookmarkEnd w:id="0"/>
    </w:p>
    <w:sectPr w:rsidR="000F5FFB" w:rsidRPr="00A6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F5FFB"/>
    <w:rsid w:val="00146D93"/>
    <w:rsid w:val="0043717B"/>
    <w:rsid w:val="006660CD"/>
    <w:rsid w:val="009B7229"/>
    <w:rsid w:val="00A24D4D"/>
    <w:rsid w:val="00A64383"/>
    <w:rsid w:val="00B37F54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paragraph" w:customStyle="1" w:styleId="mechtex">
    <w:name w:val="mechtex"/>
    <w:basedOn w:val="Normal"/>
    <w:link w:val="mechtexChar"/>
    <w:rsid w:val="00A24D4D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A24D4D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paragraph" w:customStyle="1" w:styleId="mechtex">
    <w:name w:val="mechtex"/>
    <w:basedOn w:val="Normal"/>
    <w:link w:val="mechtexChar"/>
    <w:rsid w:val="00A24D4D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A24D4D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7</cp:revision>
  <dcterms:created xsi:type="dcterms:W3CDTF">2018-02-09T06:18:00Z</dcterms:created>
  <dcterms:modified xsi:type="dcterms:W3CDTF">2018-08-27T06:26:00Z</dcterms:modified>
</cp:coreProperties>
</file>