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F5" w:rsidRPr="00F02378" w:rsidRDefault="00CD1AF5" w:rsidP="00CD1AF5">
      <w:pPr>
        <w:tabs>
          <w:tab w:val="left" w:pos="1905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02378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CD1AF5" w:rsidRPr="00F02378" w:rsidRDefault="00CD1AF5" w:rsidP="00CD1AF5">
      <w:pPr>
        <w:pStyle w:val="NormalWeb"/>
        <w:spacing w:line="360" w:lineRule="auto"/>
        <w:contextualSpacing/>
        <w:jc w:val="center"/>
        <w:rPr>
          <w:rFonts w:ascii="GHEA Grapalat" w:hAnsi="GHEA Grapalat"/>
          <w:b/>
          <w:lang w:val="en-US"/>
        </w:rPr>
      </w:pPr>
      <w:r w:rsidRPr="00F02378">
        <w:rPr>
          <w:rFonts w:ascii="GHEA Grapalat" w:hAnsi="GHEA Grapalat"/>
          <w:b/>
          <w:lang w:val="en-US"/>
        </w:rPr>
        <w:t>«</w:t>
      </w:r>
      <w:proofErr w:type="spellStart"/>
      <w:r w:rsidRPr="00F02378">
        <w:rPr>
          <w:rFonts w:ascii="GHEA Grapalat" w:hAnsi="GHEA Grapalat"/>
          <w:b/>
          <w:lang w:val="en-US"/>
        </w:rPr>
        <w:t>Հայաստանի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Հանրապետության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կառավարության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2016 </w:t>
      </w:r>
      <w:proofErr w:type="spellStart"/>
      <w:r w:rsidRPr="00F02378">
        <w:rPr>
          <w:rFonts w:ascii="GHEA Grapalat" w:hAnsi="GHEA Grapalat"/>
          <w:b/>
          <w:lang w:val="en-US"/>
        </w:rPr>
        <w:t>թվականի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փետրվարի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18-ի </w:t>
      </w:r>
      <w:proofErr w:type="spellStart"/>
      <w:r w:rsidRPr="00F02378">
        <w:rPr>
          <w:rFonts w:ascii="GHEA Grapalat" w:hAnsi="GHEA Grapalat"/>
          <w:b/>
          <w:lang w:val="en-US"/>
        </w:rPr>
        <w:t>նիստի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N 6 </w:t>
      </w:r>
      <w:proofErr w:type="spellStart"/>
      <w:r w:rsidRPr="00F02378">
        <w:rPr>
          <w:rFonts w:ascii="GHEA Grapalat" w:hAnsi="GHEA Grapalat"/>
          <w:b/>
          <w:lang w:val="en-US"/>
        </w:rPr>
        <w:t>արձանագրության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N 15-րդ </w:t>
      </w:r>
      <w:proofErr w:type="spellStart"/>
      <w:r w:rsidRPr="00F02378">
        <w:rPr>
          <w:rFonts w:ascii="GHEA Grapalat" w:hAnsi="GHEA Grapalat"/>
          <w:b/>
          <w:lang w:val="en-US"/>
        </w:rPr>
        <w:t>կետով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հավանության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արժանացած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արձանագրային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որոշման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մեջ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փոփոխություններ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r w:rsidR="00F3130A">
        <w:rPr>
          <w:rFonts w:ascii="GHEA Grapalat" w:hAnsi="GHEA Grapalat"/>
          <w:b/>
          <w:lang w:val="en-US"/>
        </w:rPr>
        <w:t xml:space="preserve">և </w:t>
      </w:r>
      <w:proofErr w:type="spellStart"/>
      <w:r w:rsidR="00F3130A">
        <w:rPr>
          <w:rFonts w:ascii="GHEA Grapalat" w:hAnsi="GHEA Grapalat"/>
          <w:b/>
          <w:lang w:val="en-US"/>
        </w:rPr>
        <w:t>լրացում</w:t>
      </w:r>
      <w:proofErr w:type="spellEnd"/>
      <w:r w:rsidR="00F3130A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կատարելու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մասին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» ՀՀ </w:t>
      </w:r>
      <w:proofErr w:type="spellStart"/>
      <w:r w:rsidRPr="00F02378">
        <w:rPr>
          <w:rFonts w:ascii="GHEA Grapalat" w:hAnsi="GHEA Grapalat"/>
          <w:b/>
          <w:lang w:val="en-US"/>
        </w:rPr>
        <w:t>կառավարության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արձանագրային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որոշման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նախագծի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ընդունման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անհրաժեշտության</w:t>
      </w:r>
      <w:proofErr w:type="spellEnd"/>
      <w:r w:rsidRPr="00F02378">
        <w:rPr>
          <w:rFonts w:ascii="GHEA Grapalat" w:hAnsi="GHEA Grapalat"/>
          <w:b/>
          <w:lang w:val="en-US"/>
        </w:rPr>
        <w:t xml:space="preserve"> </w:t>
      </w:r>
      <w:proofErr w:type="spellStart"/>
      <w:r w:rsidRPr="00F02378">
        <w:rPr>
          <w:rFonts w:ascii="GHEA Grapalat" w:hAnsi="GHEA Grapalat"/>
          <w:b/>
          <w:lang w:val="en-US"/>
        </w:rPr>
        <w:t>վերաբերյալ</w:t>
      </w:r>
      <w:proofErr w:type="spellEnd"/>
    </w:p>
    <w:tbl>
      <w:tblPr>
        <w:tblW w:w="10526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853"/>
      </w:tblGrid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02378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AF2428" w:rsidRDefault="00CD1AF5" w:rsidP="00AD0399">
            <w:pPr>
              <w:spacing w:line="360" w:lineRule="auto"/>
              <w:ind w:firstLine="11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«Հայաստանի Հանրապետության կառավարության 2016 թվականի փետրվարի 18-ի նիստի N 6 արձանագրության N 15-րդ կետով հավանության արժանացած արձանագրային որոշման մեջ փոփոխություններ</w:t>
            </w:r>
            <w:r w:rsidR="00F3130A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F3130A" w:rsidRPr="00AF2428">
              <w:rPr>
                <w:rFonts w:ascii="GHEA Grapalat" w:hAnsi="GHEA Grapalat"/>
                <w:sz w:val="24"/>
                <w:szCs w:val="24"/>
                <w:lang w:val="af-ZA"/>
              </w:rPr>
              <w:t>լրացում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կատարելու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0A4EC7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</w:t>
            </w:r>
            <w:proofErr w:type="spellStart"/>
            <w:r w:rsidR="000A4EC7"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կառավարության</w:t>
            </w:r>
            <w:proofErr w:type="spellEnd"/>
            <w:r w:rsidR="000A4EC7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արձանագրային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որոշման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ընդունման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անհրաժեշտությունը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պայմանավորված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ծախսերի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ֆինանսական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հաշվետվողականության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(ՊԾՖՀ-PEFA)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քարտուղարության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կողմից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ՊԾՖՀ-PEFA 2016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նոր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շրջանակի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ընդունմ</w:t>
            </w:r>
            <w:r w:rsidR="00AD0399" w:rsidRPr="00AF2428">
              <w:rPr>
                <w:rFonts w:ascii="GHEA Grapalat" w:hAnsi="GHEA Grapalat"/>
                <w:sz w:val="24"/>
                <w:szCs w:val="24"/>
                <w:lang w:val="af-ZA"/>
              </w:rPr>
              <w:t>ամ</w:t>
            </w:r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բ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ինչպես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նաև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Նախագահի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01.03.2016թ. ՆՀ-213–Ն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հրամանագով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կառավարությանն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առընթեր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եկամուտների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կոմիտեի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այսուհետ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՝ ՊԵԿ) ՀՀ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նախարարությունից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առանձնացման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արդյունքում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կառավարման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համակարգի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բարեփոխումների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վերանայված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ռազմավարության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» (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այսուհետ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՝ ՊՖԿՀԲ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ռազմավարություն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),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ինչպես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նաև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կառավարման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համակարգի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բարեփոխումների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2016-2020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թվականներին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իրականացվելիք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գործողությունների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ծրագիրում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այսուհետ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՝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Գործողությունների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ծրագիր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շարք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կատարելու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անհրաժեշտությունից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02378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AF2428" w:rsidRDefault="00CD1AF5" w:rsidP="006D1C99">
            <w:pPr>
              <w:spacing w:line="360" w:lineRule="auto"/>
              <w:ind w:firstLine="11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ՊՖԿՀԲ ռազմավարության մշակման համար հիմք է հանդիսացել ՊԾՖՀ-PEFA</w:t>
            </w:r>
            <w:bookmarkStart w:id="0" w:name="_GoBack"/>
            <w:bookmarkEnd w:id="0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2015 թվականի փորձնական շրջանակի կատարողականի ցուցանիշները: </w:t>
            </w:r>
            <w:proofErr w:type="spellStart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>Սակայն</w:t>
            </w:r>
            <w:proofErr w:type="spellEnd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>հարկ</w:t>
            </w:r>
            <w:proofErr w:type="spellEnd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proofErr w:type="spellStart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>նշել</w:t>
            </w:r>
            <w:proofErr w:type="spellEnd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proofErr w:type="spellEnd"/>
            <w:r w:rsidR="006D1C99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2016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փետրվարին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ՊԾՖՀ-PEFA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քարտուղարության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կողմից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ընդունվել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ՊԾՖՀ-PEFA 2016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նոր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շրջանակը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համաձայն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ՊԾՖՀ 2015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փորձնական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տարբերակի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կատարողականի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որոշ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ցուցանիշների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գնահատման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չափանիշները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ենթարկվել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CD1AF5" w:rsidRPr="00AF2428" w:rsidRDefault="00CD1AF5" w:rsidP="006D1C99">
            <w:pPr>
              <w:spacing w:line="360" w:lineRule="auto"/>
              <w:ind w:firstLine="209"/>
              <w:contextualSpacing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Միաժամանակ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հիշյալ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արձանագրային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որոշման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Գործողությունների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ծրագրի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9.1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կետով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նախատեսված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Եկամուտների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վարչարարության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համապատասխանություն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բաղադրիչով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նախատեսված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միջոցառումների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կատարման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պատասխանատուն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հանդիսանում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ՀՀ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նախարարությունը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: ՀՀ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Նախագահի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01.03.2016թ. ՆՀ-213–Ն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հրամանագ</w:t>
            </w:r>
            <w:r w:rsidR="00AD0399" w:rsidRPr="00AF2428">
              <w:rPr>
                <w:rFonts w:ascii="GHEA Grapalat" w:hAnsi="GHEA Grapalat"/>
                <w:sz w:val="24"/>
                <w:szCs w:val="24"/>
                <w:lang w:val="af-ZA"/>
              </w:rPr>
              <w:t>ր</w:t>
            </w:r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ով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նախարարությունից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ՊԵԿ</w:t>
            </w:r>
            <w:r w:rsidR="00F02378" w:rsidRPr="00AF2428">
              <w:rPr>
                <w:rFonts w:ascii="GHEA Grapalat" w:hAnsi="GHEA Grapalat"/>
                <w:sz w:val="24"/>
                <w:szCs w:val="24"/>
                <w:lang w:val="af-ZA"/>
              </w:rPr>
              <w:t>-ի</w:t>
            </w:r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առանձնացման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արդյունքում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հիշյալ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բաղադրիչով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նախատեսվող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միջոցառումների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իրականացնող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կառուցվածքային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ստորաբաժանումները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ընդգրկվել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ՊԵԿ-ի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աշխատակազմի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կառուցվածքում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CD1AF5" w:rsidRPr="00AF2428" w:rsidRDefault="00CD1AF5" w:rsidP="00AD0399">
            <w:pPr>
              <w:pStyle w:val="norm"/>
              <w:spacing w:line="360" w:lineRule="auto"/>
              <w:ind w:firstLine="119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Հիշյալով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պայմանավորված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արձանագրային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որոշման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մեջ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անհրաժեշտ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կատարել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</w:t>
            </w:r>
            <w:proofErr w:type="spellEnd"/>
            <w:r w:rsidR="00D05F13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proofErr w:type="spellStart"/>
            <w:r w:rsidR="00D05F13" w:rsidRPr="00AF2428">
              <w:rPr>
                <w:rFonts w:ascii="GHEA Grapalat" w:hAnsi="GHEA Grapalat"/>
                <w:sz w:val="24"/>
                <w:szCs w:val="24"/>
                <w:lang w:val="af-ZA"/>
              </w:rPr>
              <w:t>Վերանայվել</w:t>
            </w:r>
            <w:proofErr w:type="spellEnd"/>
            <w:r w:rsidR="00D05F13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05F13" w:rsidRPr="00AF2428"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proofErr w:type="spellEnd"/>
            <w:r w:rsidR="00D05F13"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արձանագրային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որոշմամբ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հաստատված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կառավարման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համակարգի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բարեփոխումների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2016-2020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թվականներին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իրականացվելիք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գործողությունների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ծրագրով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նախատեսված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ոլորտներին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առնչվող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մի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շարք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միջոցառումներ</w:t>
            </w:r>
            <w:proofErr w:type="spellEnd"/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02378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AF2428" w:rsidRDefault="00CD1AF5" w:rsidP="00AF2428">
            <w:pPr>
              <w:spacing w:line="360" w:lineRule="auto"/>
              <w:ind w:firstLine="11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2428">
              <w:rPr>
                <w:rFonts w:ascii="GHEA Grapalat" w:hAnsi="GHEA Grapalat"/>
                <w:sz w:val="24"/>
                <w:szCs w:val="24"/>
                <w:lang w:val="af-ZA"/>
              </w:rPr>
              <w:t>Միջազգային փորձի և ստանդարտների հիման վրա ՀՀ պետական ֆինանսների կառավարման համակարգում բարեփոխումների իրականացում</w:t>
            </w:r>
            <w:r w:rsidR="00AD0399" w:rsidRPr="00AF242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02378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6D1C99">
            <w:pPr>
              <w:spacing w:line="360" w:lineRule="auto"/>
              <w:ind w:firstLine="11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02378">
              <w:rPr>
                <w:rFonts w:ascii="GHEA Grapalat" w:hAnsi="GHEA Grapalat"/>
                <w:sz w:val="24"/>
                <w:szCs w:val="24"/>
                <w:lang w:val="af-ZA"/>
              </w:rPr>
              <w:t>Նախագծի կարգավորման հիմնական նպատակն է ՊՖԿՀԲ իրականացման արդյունքում ապահովել պետական ծախսերի կառավարման արդյունավետությունը` բարձրացնելով ընթացակարգերի ու մատուցվող ծառայությունների որակը, որը հնարավոր կլինի իրականացնել նախագծով 2016-2020թթ նախատեսված գործո</w:t>
            </w:r>
            <w:r w:rsidRPr="00F02378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ղութ</w:t>
            </w:r>
            <w:r w:rsidRPr="00F02378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յուն</w:t>
            </w:r>
            <w:r w:rsidRPr="00F02378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նե</w:t>
            </w:r>
            <w:r w:rsidRPr="00F02378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րի ծրագրի միջոցառումների և դրանց իրականացման ողջամիտ ժամկետների հստակեցման արդյունքում:</w:t>
            </w:r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02378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r w:rsidRPr="00F02378">
              <w:rPr>
                <w:rFonts w:ascii="GHEA Grapalat" w:hAnsi="GHEA Grapalat"/>
                <w:b/>
                <w:sz w:val="24"/>
                <w:szCs w:val="24"/>
              </w:rPr>
              <w:softHyphen/>
              <w:t>ձիք</w:t>
            </w:r>
            <w:proofErr w:type="spellEnd"/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AF2428">
            <w:pPr>
              <w:tabs>
                <w:tab w:val="left" w:pos="993"/>
              </w:tabs>
              <w:spacing w:line="360" w:lineRule="auto"/>
              <w:ind w:firstLine="20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02378">
              <w:rPr>
                <w:rFonts w:ascii="GHEA Grapalat" w:hAnsi="GHEA Grapalat"/>
                <w:sz w:val="24"/>
                <w:szCs w:val="24"/>
                <w:lang w:val="af-ZA"/>
              </w:rPr>
              <w:t xml:space="preserve">Արձանագրային որոշման նախագիծը մշակվել է ՀՀ ֆինանսների նախարարության </w:t>
            </w:r>
            <w:r w:rsidRPr="00F02378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կողմից:</w:t>
            </w:r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02378"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F0237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02378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AD0399" w:rsidRDefault="00CD1AF5" w:rsidP="00AD0399">
            <w:pPr>
              <w:tabs>
                <w:tab w:val="left" w:pos="993"/>
              </w:tabs>
              <w:spacing w:line="360" w:lineRule="auto"/>
              <w:ind w:firstLine="20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Նախագծով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առաջարկվող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արդյունքում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կապահովի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ՊԾՖՀ-PEFA 2016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շրջանակի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կատարողականի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ցուցանիշների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գնահատման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չափանիշների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պահանջնձրի</w:t>
            </w:r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համապատասխան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ֆինանսների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կառավարման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բարեփոխումների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գործընթացներն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ապահովող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ոլոտների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միջոցառումների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սահմանված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ժամկետներում</w:t>
            </w:r>
            <w:proofErr w:type="spellEnd"/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իրականացումը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D1C99" w:rsidRPr="00AD0399">
              <w:rPr>
                <w:rFonts w:ascii="GHEA Grapalat" w:hAnsi="GHEA Grapalat"/>
                <w:sz w:val="24"/>
                <w:szCs w:val="24"/>
                <w:lang w:val="af-ZA"/>
              </w:rPr>
              <w:t>որ</w:t>
            </w:r>
            <w:r w:rsidR="001727C7" w:rsidRPr="00AD0399">
              <w:rPr>
                <w:rFonts w:ascii="GHEA Grapalat" w:hAnsi="GHEA Grapalat"/>
                <w:sz w:val="24"/>
                <w:szCs w:val="24"/>
                <w:lang w:val="af-ZA"/>
              </w:rPr>
              <w:t>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արդյունքում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կմեծանա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պետական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ծախսերի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կառավարման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արդյունավետությունը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` կապահովի ընթացակարգերի ու մատուցվող ծառայությունների որակը:</w:t>
            </w:r>
          </w:p>
        </w:tc>
      </w:tr>
      <w:tr w:rsidR="00CD1AF5" w:rsidRPr="00F02378" w:rsidTr="006D1C99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F02378" w:rsidRDefault="00CD1AF5" w:rsidP="00347C2A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02378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F5" w:rsidRPr="00AD0399" w:rsidRDefault="00CD1AF5" w:rsidP="00AD0399">
            <w:pPr>
              <w:tabs>
                <w:tab w:val="left" w:pos="993"/>
              </w:tabs>
              <w:spacing w:line="360" w:lineRule="auto"/>
              <w:ind w:firstLine="20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Այլ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տեղեկություններ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եթե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այդպիսիք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առկա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proofErr w:type="spellEnd"/>
            <w:r w:rsidRPr="00AD0399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</w:p>
        </w:tc>
      </w:tr>
    </w:tbl>
    <w:p w:rsidR="00634FDF" w:rsidRPr="00F02378" w:rsidRDefault="00634FDF" w:rsidP="00F3130A">
      <w:pPr>
        <w:rPr>
          <w:sz w:val="24"/>
          <w:szCs w:val="24"/>
        </w:rPr>
      </w:pPr>
    </w:p>
    <w:sectPr w:rsidR="00634FDF" w:rsidRPr="00F02378" w:rsidSect="0013608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F5"/>
    <w:rsid w:val="00065F6F"/>
    <w:rsid w:val="000A4EC7"/>
    <w:rsid w:val="0013608A"/>
    <w:rsid w:val="001727C7"/>
    <w:rsid w:val="00273F42"/>
    <w:rsid w:val="00276D55"/>
    <w:rsid w:val="00634FDF"/>
    <w:rsid w:val="006D1C99"/>
    <w:rsid w:val="00AD0399"/>
    <w:rsid w:val="00AD2BCE"/>
    <w:rsid w:val="00AF2428"/>
    <w:rsid w:val="00B13985"/>
    <w:rsid w:val="00CA15B9"/>
    <w:rsid w:val="00CD1AF5"/>
    <w:rsid w:val="00D05F13"/>
    <w:rsid w:val="00F02378"/>
    <w:rsid w:val="00F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F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CD1AF5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CD1AF5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CD1AF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DefaultParagraphFontParaChar">
    <w:name w:val="Default Paragraph Font Para Char"/>
    <w:basedOn w:val="Normal"/>
    <w:locked/>
    <w:rsid w:val="000A4EC7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F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CD1AF5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CD1AF5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CD1AF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DefaultParagraphFontParaChar">
    <w:name w:val="Default Paragraph Font Para Char"/>
    <w:basedOn w:val="Normal"/>
    <w:locked/>
    <w:rsid w:val="000A4EC7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 Poghosyan</dc:creator>
  <cp:lastModifiedBy>Arevik Poghosyan</cp:lastModifiedBy>
  <cp:revision>11</cp:revision>
  <dcterms:created xsi:type="dcterms:W3CDTF">2016-04-18T10:03:00Z</dcterms:created>
  <dcterms:modified xsi:type="dcterms:W3CDTF">2016-06-30T12:00:00Z</dcterms:modified>
</cp:coreProperties>
</file>