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61"/>
        <w:tblOverlap w:val="never"/>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790"/>
        <w:gridCol w:w="6120"/>
        <w:gridCol w:w="2430"/>
        <w:gridCol w:w="2772"/>
        <w:gridCol w:w="8"/>
      </w:tblGrid>
      <w:tr w:rsidR="003101C0" w:rsidRPr="003047B5" w:rsidTr="00B4317A">
        <w:trPr>
          <w:trHeight w:val="1880"/>
        </w:trPr>
        <w:tc>
          <w:tcPr>
            <w:tcW w:w="14858" w:type="dxa"/>
            <w:gridSpan w:val="6"/>
            <w:tcBorders>
              <w:top w:val="single" w:sz="4" w:space="0" w:color="auto"/>
              <w:left w:val="single" w:sz="4" w:space="0" w:color="auto"/>
              <w:bottom w:val="single" w:sz="4" w:space="0" w:color="auto"/>
              <w:right w:val="single" w:sz="4" w:space="0" w:color="auto"/>
            </w:tcBorders>
          </w:tcPr>
          <w:p w:rsidR="003101C0" w:rsidRPr="0076218D" w:rsidRDefault="003101C0" w:rsidP="0076218D">
            <w:pPr>
              <w:jc w:val="center"/>
              <w:rPr>
                <w:rFonts w:ascii="GHEA Grapalat" w:hAnsi="GHEA Grapalat" w:cs="Sylfaen"/>
                <w:lang w:val="fr-FR"/>
              </w:rPr>
            </w:pPr>
            <w:r w:rsidRPr="0076218D">
              <w:rPr>
                <w:rFonts w:ascii="GHEA Grapalat" w:hAnsi="GHEA Grapalat" w:cs="Sylfaen"/>
                <w:lang w:val="fr-FR"/>
              </w:rPr>
              <w:t>ԱՄՓՈՓԱԹԵՐԹ</w:t>
            </w:r>
          </w:p>
          <w:p w:rsidR="001808BF" w:rsidRPr="0076218D" w:rsidRDefault="003101C0" w:rsidP="0076218D">
            <w:pPr>
              <w:jc w:val="center"/>
              <w:rPr>
                <w:rFonts w:ascii="GHEA Grapalat" w:hAnsi="GHEA Grapalat" w:cs="Sylfaen"/>
                <w:lang w:val="fr-FR"/>
              </w:rPr>
            </w:pPr>
            <w:proofErr w:type="gramStart"/>
            <w:r w:rsidRPr="00492AA0">
              <w:rPr>
                <w:rFonts w:ascii="GHEA Grapalat" w:hAnsi="GHEA Grapalat" w:cs="Sylfaen"/>
                <w:lang w:val="fr-FR"/>
              </w:rPr>
              <w:t>«</w:t>
            </w:r>
            <w:r w:rsidR="00492AA0" w:rsidRPr="00492AA0">
              <w:rPr>
                <w:rFonts w:ascii="GHEA Grapalat" w:hAnsi="GHEA Grapalat" w:cs="Sylfaen"/>
                <w:lang w:val="fr-FR"/>
              </w:rPr>
              <w:t>ՀԱՅԱՍՏԱՆԻ</w:t>
            </w:r>
            <w:proofErr w:type="gramEnd"/>
            <w:r w:rsidR="00492AA0" w:rsidRPr="00492AA0">
              <w:rPr>
                <w:rFonts w:ascii="GHEA Grapalat" w:hAnsi="GHEA Grapalat" w:cs="Sylfaen"/>
                <w:lang w:val="fr-FR"/>
              </w:rPr>
              <w:t xml:space="preserve"> ՀԱՆՐԱՊԵՏՈՒԹՅԱՆ 2019 ԹՎԱԿԱՆԻ ՊԵՏԱԿԱՆ ԲՅՈՒՋԵՈՒՄ ՎԵՐԱԲԱՇԽՈՒՄ,  ՀԱՅԱՍՏԱՆԻ ՀԱՆՐԱՊԵՏՈՒԹՅԱՆ ԿԱՌԱՎԱՐՈՒԹՅԱՆ 2018 ԹՎԱԿԱՆԻ ԴԵԿՏԵՄԲԵՐԻ 27-Ի N 1515-Ն ՈՐՈՇՄԱՆ ՄԵՋ ՓՈՓՈԽՈՒԹՅՈՒՆՆԵՐ ՈՒ ԼՐԱՑՈՒՄՆԵՐ ԿԱՏԱՐԵԼՈՒ, ՀԱՅԱՍՏԱՆԻ ՀԱՆՐԱՊԵՏՈՒԹՅԱՆ ԿՐԹՈՒԹՅԱՆ, ԳԻՏՈՒԹՅԱՆ, ՄՇԱԿՈՒՅԹԻ ԵՎ ՍՊՈՐՏԻ ՆԱԽԱՐԱՐՈՒԹՅԱՆԸ ԵՎ ՀԱՅԱՍՏԱՆԻ ՀԱՆՐԱՊԵՏՈՒԹՅԱՆ ՔԱՂԱՔԱՇԻՆՈՒԹՅԱՆ ԿՈՄԻՏԵԻՆ ԳՈՒՄԱՐՆԵՐ ՀԱՏԿԱՑՆԵԼՈՒ ՄԱՍԻՆ</w:t>
            </w:r>
            <w:r w:rsidRPr="003101C0">
              <w:rPr>
                <w:rFonts w:ascii="GHEA Grapalat" w:hAnsi="GHEA Grapalat" w:cs="Sylfaen"/>
                <w:lang w:val="fr-FR"/>
              </w:rPr>
              <w:t xml:space="preserve">» ՀԱՅԱՍՏԱՆԻ ՀԱՆՐԱՊԵՏՈՒԹՅԱՆ ԿԱՌԱՎԱՐՈՒԹՅԱՆ </w:t>
            </w:r>
          </w:p>
          <w:p w:rsidR="003101C0" w:rsidRPr="0076218D" w:rsidRDefault="003101C0" w:rsidP="0076218D">
            <w:pPr>
              <w:pStyle w:val="ListParagraph"/>
              <w:tabs>
                <w:tab w:val="left" w:pos="630"/>
              </w:tabs>
              <w:spacing w:after="0" w:line="240" w:lineRule="auto"/>
              <w:ind w:left="0"/>
              <w:contextualSpacing w:val="0"/>
              <w:jc w:val="center"/>
              <w:rPr>
                <w:rFonts w:ascii="GHEA Grapalat" w:hAnsi="GHEA Grapalat" w:cs="Sylfaen"/>
                <w:sz w:val="24"/>
                <w:szCs w:val="24"/>
                <w:lang w:val="fr-FR" w:eastAsia="ru-RU"/>
              </w:rPr>
            </w:pPr>
            <w:r w:rsidRPr="0076218D">
              <w:rPr>
                <w:rFonts w:ascii="GHEA Grapalat" w:hAnsi="GHEA Grapalat" w:cs="Sylfaen"/>
                <w:sz w:val="24"/>
                <w:szCs w:val="24"/>
                <w:lang w:val="fr-FR" w:eastAsia="ru-RU"/>
              </w:rPr>
              <w:t>ՈՐՈՇՄԱՆ ՆԱԽԱԳԾԻ ԿԱՊԱԿՑՈՒԹՅԱՄԲ</w:t>
            </w:r>
            <w:r w:rsidR="00047204" w:rsidRPr="0076218D">
              <w:rPr>
                <w:rFonts w:ascii="GHEA Grapalat" w:hAnsi="GHEA Grapalat" w:cs="Sylfaen"/>
                <w:sz w:val="24"/>
                <w:szCs w:val="24"/>
                <w:lang w:val="fr-FR" w:eastAsia="ru-RU"/>
              </w:rPr>
              <w:t xml:space="preserve"> </w:t>
            </w:r>
            <w:r w:rsidRPr="0076218D">
              <w:rPr>
                <w:rFonts w:ascii="GHEA Grapalat" w:hAnsi="GHEA Grapalat" w:cs="Sylfaen"/>
                <w:sz w:val="24"/>
                <w:szCs w:val="24"/>
                <w:lang w:val="fr-FR" w:eastAsia="ru-RU"/>
              </w:rPr>
              <w:t>ԱՌԱՐԿՈՒԹՅՈՒՆՆԵՐԻ ԵՎ ԱՌԱՋԱՐԿՈՒԹՅՈՒՆՆԵՐԻ</w:t>
            </w:r>
          </w:p>
        </w:tc>
      </w:tr>
      <w:tr w:rsidR="00FE1258" w:rsidRPr="003101C0" w:rsidTr="00B4317A">
        <w:trPr>
          <w:gridAfter w:val="1"/>
          <w:wAfter w:w="8" w:type="dxa"/>
        </w:trPr>
        <w:tc>
          <w:tcPr>
            <w:tcW w:w="738"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pStyle w:val="BodyText"/>
              <w:spacing w:after="0"/>
              <w:jc w:val="center"/>
              <w:rPr>
                <w:rFonts w:ascii="GHEA Grapalat" w:hAnsi="GHEA Grapalat" w:cs="Sylfaen"/>
                <w:b/>
                <w:bCs/>
                <w:i/>
                <w:sz w:val="22"/>
                <w:szCs w:val="22"/>
                <w:lang w:val="af-ZA"/>
              </w:rPr>
            </w:pPr>
            <w:r w:rsidRPr="003101C0">
              <w:rPr>
                <w:rFonts w:ascii="GHEA Grapalat" w:hAnsi="GHEA Grapalat" w:cs="Sylfaen"/>
                <w:b/>
                <w:bCs/>
                <w:i/>
                <w:sz w:val="22"/>
                <w:szCs w:val="22"/>
                <w:lang w:val="af-ZA"/>
              </w:rPr>
              <w:t>հ/հ</w:t>
            </w:r>
          </w:p>
        </w:tc>
        <w:tc>
          <w:tcPr>
            <w:tcW w:w="2790"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pStyle w:val="BodyText"/>
              <w:spacing w:after="0"/>
              <w:jc w:val="center"/>
              <w:rPr>
                <w:rFonts w:ascii="GHEA Grapalat" w:hAnsi="GHEA Grapalat" w:cs="Sylfaen"/>
                <w:b/>
                <w:bCs/>
                <w:i/>
                <w:sz w:val="22"/>
                <w:szCs w:val="22"/>
                <w:lang w:val="af-ZA"/>
              </w:rPr>
            </w:pPr>
            <w:r w:rsidRPr="003101C0">
              <w:rPr>
                <w:rFonts w:ascii="GHEA Grapalat" w:hAnsi="GHEA Grapalat" w:cs="Sylfaen"/>
                <w:b/>
                <w:bCs/>
                <w:i/>
                <w:sz w:val="22"/>
                <w:szCs w:val="22"/>
                <w:lang w:val="af-ZA"/>
              </w:rPr>
              <w:t>Առաջարկության հեղինակը, գրության ամսաթիվը, գրության համարը</w:t>
            </w:r>
          </w:p>
        </w:tc>
        <w:tc>
          <w:tcPr>
            <w:tcW w:w="6120"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pStyle w:val="BodyText"/>
              <w:spacing w:after="0"/>
              <w:jc w:val="center"/>
              <w:rPr>
                <w:rFonts w:ascii="GHEA Grapalat" w:hAnsi="GHEA Grapalat" w:cs="Sylfaen"/>
                <w:b/>
                <w:bCs/>
                <w:i/>
                <w:sz w:val="22"/>
                <w:szCs w:val="22"/>
                <w:lang w:val="af-ZA"/>
              </w:rPr>
            </w:pPr>
            <w:r w:rsidRPr="003101C0">
              <w:rPr>
                <w:rFonts w:ascii="GHEA Grapalat" w:hAnsi="GHEA Grapalat" w:cs="Sylfaen"/>
                <w:b/>
                <w:bCs/>
                <w:i/>
                <w:sz w:val="22"/>
                <w:szCs w:val="22"/>
                <w:lang w:val="af-ZA"/>
              </w:rPr>
              <w:t>Առաջարկության բովանդակությունը</w:t>
            </w:r>
          </w:p>
        </w:tc>
        <w:tc>
          <w:tcPr>
            <w:tcW w:w="2430"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pStyle w:val="BodyText"/>
              <w:spacing w:after="0"/>
              <w:jc w:val="center"/>
              <w:rPr>
                <w:rFonts w:ascii="GHEA Grapalat" w:hAnsi="GHEA Grapalat" w:cs="Sylfaen"/>
                <w:b/>
                <w:bCs/>
                <w:i/>
                <w:sz w:val="22"/>
                <w:szCs w:val="22"/>
                <w:lang w:val="af-ZA"/>
              </w:rPr>
            </w:pPr>
            <w:r w:rsidRPr="003101C0">
              <w:rPr>
                <w:rFonts w:ascii="GHEA Grapalat" w:hAnsi="GHEA Grapalat" w:cs="Sylfaen"/>
                <w:b/>
                <w:bCs/>
                <w:i/>
                <w:sz w:val="22"/>
                <w:szCs w:val="22"/>
                <w:lang w:val="af-ZA"/>
              </w:rPr>
              <w:t>Եզրակացություն</w:t>
            </w:r>
          </w:p>
        </w:tc>
        <w:tc>
          <w:tcPr>
            <w:tcW w:w="2772"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pStyle w:val="BodyText"/>
              <w:spacing w:after="0"/>
              <w:jc w:val="center"/>
              <w:rPr>
                <w:rFonts w:ascii="GHEA Grapalat" w:hAnsi="GHEA Grapalat" w:cs="Sylfaen"/>
                <w:b/>
                <w:bCs/>
                <w:i/>
                <w:sz w:val="22"/>
                <w:szCs w:val="22"/>
                <w:lang w:val="af-ZA"/>
              </w:rPr>
            </w:pPr>
            <w:r w:rsidRPr="003101C0">
              <w:rPr>
                <w:rFonts w:ascii="GHEA Grapalat" w:hAnsi="GHEA Grapalat" w:cs="Sylfaen"/>
                <w:b/>
                <w:bCs/>
                <w:i/>
                <w:sz w:val="22"/>
                <w:szCs w:val="22"/>
                <w:lang w:val="af-ZA"/>
              </w:rPr>
              <w:t>Կատարված փոփոխությունը</w:t>
            </w:r>
          </w:p>
        </w:tc>
      </w:tr>
      <w:tr w:rsidR="00FE1258" w:rsidRPr="003101C0" w:rsidTr="00B4317A">
        <w:trPr>
          <w:gridAfter w:val="1"/>
          <w:wAfter w:w="8" w:type="dxa"/>
        </w:trPr>
        <w:tc>
          <w:tcPr>
            <w:tcW w:w="738"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jc w:val="center"/>
              <w:rPr>
                <w:rFonts w:ascii="GHEA Grapalat" w:hAnsi="GHEA Grapalat"/>
                <w:i/>
                <w:sz w:val="22"/>
                <w:szCs w:val="22"/>
                <w:lang w:val="en-US"/>
              </w:rPr>
            </w:pPr>
            <w:r w:rsidRPr="003101C0">
              <w:rPr>
                <w:rFonts w:ascii="GHEA Grapalat" w:hAnsi="GHEA Grapalat"/>
                <w:i/>
                <w:sz w:val="22"/>
                <w:szCs w:val="22"/>
              </w:rPr>
              <w:t>1</w:t>
            </w:r>
          </w:p>
        </w:tc>
        <w:tc>
          <w:tcPr>
            <w:tcW w:w="2790"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jc w:val="center"/>
              <w:rPr>
                <w:rFonts w:ascii="GHEA Grapalat" w:hAnsi="GHEA Grapalat"/>
                <w:i/>
                <w:sz w:val="22"/>
                <w:szCs w:val="22"/>
                <w:lang w:val="en-US"/>
              </w:rPr>
            </w:pPr>
            <w:r w:rsidRPr="003101C0">
              <w:rPr>
                <w:rFonts w:ascii="GHEA Grapalat" w:hAnsi="GHEA Grapalat"/>
                <w:i/>
                <w:sz w:val="22"/>
                <w:szCs w:val="22"/>
              </w:rPr>
              <w:t>2</w:t>
            </w:r>
          </w:p>
        </w:tc>
        <w:tc>
          <w:tcPr>
            <w:tcW w:w="6120"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jc w:val="center"/>
              <w:rPr>
                <w:rFonts w:ascii="GHEA Grapalat" w:hAnsi="GHEA Grapalat"/>
                <w:i/>
                <w:sz w:val="22"/>
                <w:szCs w:val="22"/>
                <w:lang w:val="en-US"/>
              </w:rPr>
            </w:pPr>
            <w:r w:rsidRPr="003101C0">
              <w:rPr>
                <w:rFonts w:ascii="GHEA Grapalat" w:hAnsi="GHEA Grapalat"/>
                <w:i/>
                <w:sz w:val="22"/>
                <w:szCs w:val="22"/>
              </w:rPr>
              <w:t>3</w:t>
            </w:r>
          </w:p>
        </w:tc>
        <w:tc>
          <w:tcPr>
            <w:tcW w:w="2430"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jc w:val="center"/>
              <w:rPr>
                <w:rFonts w:ascii="GHEA Grapalat" w:hAnsi="GHEA Grapalat"/>
                <w:i/>
                <w:sz w:val="22"/>
                <w:szCs w:val="22"/>
                <w:lang w:val="en-US"/>
              </w:rPr>
            </w:pPr>
            <w:r w:rsidRPr="003101C0">
              <w:rPr>
                <w:rFonts w:ascii="GHEA Grapalat" w:hAnsi="GHEA Grapalat"/>
                <w:i/>
                <w:sz w:val="22"/>
                <w:szCs w:val="22"/>
              </w:rPr>
              <w:t>4</w:t>
            </w:r>
          </w:p>
        </w:tc>
        <w:tc>
          <w:tcPr>
            <w:tcW w:w="2772" w:type="dxa"/>
            <w:tcBorders>
              <w:top w:val="single" w:sz="4" w:space="0" w:color="auto"/>
              <w:left w:val="single" w:sz="4" w:space="0" w:color="auto"/>
              <w:bottom w:val="single" w:sz="4" w:space="0" w:color="auto"/>
              <w:right w:val="single" w:sz="4" w:space="0" w:color="auto"/>
            </w:tcBorders>
            <w:hideMark/>
          </w:tcPr>
          <w:p w:rsidR="003101C0" w:rsidRPr="003101C0" w:rsidRDefault="003101C0" w:rsidP="007E27C8">
            <w:pPr>
              <w:pStyle w:val="BodyText"/>
              <w:spacing w:after="0"/>
              <w:jc w:val="center"/>
              <w:rPr>
                <w:rFonts w:ascii="GHEA Grapalat" w:hAnsi="GHEA Grapalat"/>
                <w:i/>
                <w:sz w:val="22"/>
                <w:szCs w:val="22"/>
              </w:rPr>
            </w:pPr>
            <w:r w:rsidRPr="003101C0">
              <w:rPr>
                <w:rFonts w:ascii="GHEA Grapalat" w:hAnsi="GHEA Grapalat"/>
                <w:i/>
                <w:sz w:val="22"/>
                <w:szCs w:val="22"/>
                <w:lang w:val="en-US"/>
              </w:rPr>
              <w:t>5</w:t>
            </w:r>
          </w:p>
        </w:tc>
      </w:tr>
      <w:tr w:rsidR="00563E85" w:rsidRPr="009E1952" w:rsidTr="00B4317A">
        <w:trPr>
          <w:gridAfter w:val="1"/>
          <w:wAfter w:w="8" w:type="dxa"/>
        </w:trPr>
        <w:tc>
          <w:tcPr>
            <w:tcW w:w="738" w:type="dxa"/>
            <w:tcBorders>
              <w:top w:val="single" w:sz="4" w:space="0" w:color="auto"/>
              <w:left w:val="single" w:sz="4" w:space="0" w:color="auto"/>
              <w:bottom w:val="single" w:sz="4" w:space="0" w:color="auto"/>
              <w:right w:val="single" w:sz="4" w:space="0" w:color="auto"/>
            </w:tcBorders>
            <w:hideMark/>
          </w:tcPr>
          <w:p w:rsidR="00563E85" w:rsidRPr="003101C0" w:rsidRDefault="00563E85" w:rsidP="00563E85">
            <w:pPr>
              <w:jc w:val="center"/>
              <w:rPr>
                <w:rFonts w:ascii="GHEA Grapalat" w:hAnsi="GHEA Grapalat"/>
                <w:sz w:val="22"/>
                <w:szCs w:val="22"/>
                <w:lang w:val="fr-FR"/>
              </w:rPr>
            </w:pPr>
            <w:r w:rsidRPr="003101C0">
              <w:rPr>
                <w:rFonts w:ascii="GHEA Grapalat" w:hAnsi="GHEA Grapalat"/>
                <w:sz w:val="22"/>
                <w:szCs w:val="22"/>
                <w:lang w:val="fr-FR"/>
              </w:rPr>
              <w:t>1.</w:t>
            </w:r>
          </w:p>
        </w:tc>
        <w:tc>
          <w:tcPr>
            <w:tcW w:w="2790" w:type="dxa"/>
            <w:tcBorders>
              <w:top w:val="single" w:sz="4" w:space="0" w:color="auto"/>
              <w:left w:val="single" w:sz="4" w:space="0" w:color="auto"/>
              <w:bottom w:val="single" w:sz="4" w:space="0" w:color="auto"/>
              <w:right w:val="single" w:sz="4" w:space="0" w:color="auto"/>
            </w:tcBorders>
          </w:tcPr>
          <w:p w:rsidR="00563E85" w:rsidRPr="007E27C8" w:rsidRDefault="00563E85" w:rsidP="00563E85">
            <w:pPr>
              <w:pStyle w:val="BodyText"/>
              <w:spacing w:after="0"/>
              <w:jc w:val="center"/>
              <w:rPr>
                <w:rFonts w:ascii="GHEA Grapalat" w:hAnsi="GHEA Grapalat"/>
                <w:sz w:val="22"/>
                <w:szCs w:val="22"/>
                <w:lang w:val="hy-AM"/>
              </w:rPr>
            </w:pPr>
            <w:r w:rsidRPr="007E27C8">
              <w:rPr>
                <w:rFonts w:ascii="GHEA Grapalat" w:hAnsi="GHEA Grapalat"/>
                <w:sz w:val="22"/>
                <w:szCs w:val="22"/>
                <w:lang w:val="hy-AM"/>
              </w:rPr>
              <w:t>ՀՀ արդարադատության նախարարություն</w:t>
            </w:r>
          </w:p>
          <w:p w:rsidR="00563E85" w:rsidRPr="007E27C8" w:rsidRDefault="00563E85" w:rsidP="00563E85">
            <w:pPr>
              <w:pStyle w:val="BodyText"/>
              <w:spacing w:after="0"/>
              <w:jc w:val="center"/>
              <w:rPr>
                <w:rFonts w:ascii="GHEA Grapalat" w:hAnsi="GHEA Grapalat"/>
                <w:sz w:val="22"/>
                <w:szCs w:val="22"/>
                <w:lang w:val="hy-AM"/>
              </w:rPr>
            </w:pPr>
          </w:p>
          <w:p w:rsidR="00563E85" w:rsidRPr="00757AC2" w:rsidRDefault="00BF6B53" w:rsidP="00563E85">
            <w:pPr>
              <w:pStyle w:val="BodyText"/>
              <w:spacing w:after="0"/>
              <w:jc w:val="center"/>
              <w:rPr>
                <w:rFonts w:ascii="GHEA Grapalat" w:hAnsi="GHEA Grapalat"/>
                <w:sz w:val="22"/>
                <w:szCs w:val="22"/>
                <w:lang w:val="hy-AM"/>
              </w:rPr>
            </w:pPr>
            <w:r w:rsidRPr="00BF6B53">
              <w:rPr>
                <w:rFonts w:ascii="GHEA Grapalat" w:hAnsi="GHEA Grapalat"/>
                <w:sz w:val="22"/>
                <w:szCs w:val="22"/>
                <w:lang w:val="fr-FR"/>
              </w:rPr>
              <w:t>02</w:t>
            </w:r>
            <w:r w:rsidR="00563E85" w:rsidRPr="00757AC2">
              <w:rPr>
                <w:rFonts w:ascii="GHEA Grapalat" w:hAnsi="GHEA Grapalat"/>
                <w:sz w:val="22"/>
                <w:szCs w:val="22"/>
                <w:lang w:val="hy-AM"/>
              </w:rPr>
              <w:t>.0</w:t>
            </w:r>
            <w:r w:rsidRPr="00BF6B53">
              <w:rPr>
                <w:rFonts w:ascii="GHEA Grapalat" w:hAnsi="GHEA Grapalat"/>
                <w:sz w:val="22"/>
                <w:szCs w:val="22"/>
                <w:lang w:val="fr-FR"/>
              </w:rPr>
              <w:t>7</w:t>
            </w:r>
            <w:r w:rsidR="00563E85" w:rsidRPr="00757AC2">
              <w:rPr>
                <w:rFonts w:ascii="GHEA Grapalat" w:hAnsi="GHEA Grapalat"/>
                <w:sz w:val="22"/>
                <w:szCs w:val="22"/>
                <w:lang w:val="hy-AM"/>
              </w:rPr>
              <w:t>.2019</w:t>
            </w:r>
            <w:r w:rsidR="00563E85" w:rsidRPr="00792A89">
              <w:rPr>
                <w:rFonts w:ascii="GHEA Grapalat" w:hAnsi="GHEA Grapalat"/>
                <w:sz w:val="22"/>
                <w:szCs w:val="22"/>
                <w:lang w:val="hy-AM"/>
              </w:rPr>
              <w:t xml:space="preserve"> </w:t>
            </w:r>
            <w:r w:rsidR="00563E85" w:rsidRPr="00757AC2">
              <w:rPr>
                <w:rFonts w:ascii="GHEA Grapalat" w:hAnsi="GHEA Grapalat"/>
                <w:sz w:val="22"/>
                <w:szCs w:val="22"/>
                <w:lang w:val="hy-AM"/>
              </w:rPr>
              <w:t>թ.</w:t>
            </w:r>
          </w:p>
          <w:p w:rsidR="00563E85" w:rsidRPr="00757AC2" w:rsidRDefault="00563E85" w:rsidP="00563E85">
            <w:pPr>
              <w:pStyle w:val="BodyText"/>
              <w:spacing w:after="0"/>
              <w:jc w:val="center"/>
              <w:rPr>
                <w:rFonts w:ascii="GHEA Grapalat" w:hAnsi="GHEA Grapalat"/>
                <w:sz w:val="22"/>
                <w:szCs w:val="22"/>
                <w:lang w:val="hy-AM"/>
              </w:rPr>
            </w:pPr>
            <w:r w:rsidRPr="003101C0">
              <w:rPr>
                <w:rFonts w:ascii="GHEA Grapalat" w:hAnsi="GHEA Grapalat"/>
                <w:sz w:val="22"/>
                <w:szCs w:val="22"/>
                <w:lang w:val="hy-AM"/>
              </w:rPr>
              <w:t>№</w:t>
            </w:r>
            <w:r w:rsidRPr="00757AC2">
              <w:rPr>
                <w:rFonts w:ascii="GHEA Grapalat" w:hAnsi="GHEA Grapalat"/>
                <w:sz w:val="22"/>
                <w:szCs w:val="22"/>
                <w:lang w:val="hy-AM"/>
              </w:rPr>
              <w:t xml:space="preserve"> </w:t>
            </w:r>
            <w:r w:rsidRPr="007E27C8">
              <w:rPr>
                <w:rFonts w:ascii="GHEA Grapalat" w:hAnsi="GHEA Grapalat"/>
                <w:sz w:val="22"/>
                <w:szCs w:val="22"/>
                <w:lang w:val="hy-AM"/>
              </w:rPr>
              <w:t>01/</w:t>
            </w:r>
            <w:r w:rsidR="00BF6B53">
              <w:rPr>
                <w:rFonts w:ascii="GHEA Grapalat" w:hAnsi="GHEA Grapalat"/>
                <w:sz w:val="22"/>
                <w:szCs w:val="22"/>
                <w:lang w:val="en-US"/>
              </w:rPr>
              <w:t>27.1</w:t>
            </w:r>
            <w:r w:rsidRPr="007E27C8">
              <w:rPr>
                <w:rFonts w:ascii="GHEA Grapalat" w:hAnsi="GHEA Grapalat"/>
                <w:sz w:val="22"/>
                <w:szCs w:val="22"/>
                <w:lang w:val="hy-AM"/>
              </w:rPr>
              <w:t>/</w:t>
            </w:r>
            <w:r w:rsidR="00BF6B53">
              <w:rPr>
                <w:rFonts w:ascii="GHEA Grapalat" w:hAnsi="GHEA Grapalat"/>
                <w:sz w:val="22"/>
                <w:szCs w:val="22"/>
                <w:lang w:val="en-US"/>
              </w:rPr>
              <w:t>14662</w:t>
            </w:r>
            <w:r w:rsidRPr="007E27C8">
              <w:rPr>
                <w:rFonts w:ascii="GHEA Grapalat" w:hAnsi="GHEA Grapalat"/>
                <w:sz w:val="22"/>
                <w:szCs w:val="22"/>
                <w:lang w:val="hy-AM"/>
              </w:rPr>
              <w:t>-19</w:t>
            </w:r>
            <w:r w:rsidRPr="00757AC2">
              <w:rPr>
                <w:rFonts w:ascii="GHEA Grapalat" w:hAnsi="GHEA Grapalat"/>
                <w:sz w:val="22"/>
                <w:szCs w:val="22"/>
                <w:lang w:val="hy-AM"/>
              </w:rPr>
              <w:t xml:space="preserve"> </w:t>
            </w:r>
            <w:r w:rsidRPr="003101C0">
              <w:rPr>
                <w:rFonts w:ascii="GHEA Grapalat" w:hAnsi="GHEA Grapalat"/>
                <w:sz w:val="22"/>
                <w:szCs w:val="22"/>
                <w:lang w:val="hy-AM"/>
              </w:rPr>
              <w:t xml:space="preserve"> գրություն</w:t>
            </w:r>
          </w:p>
          <w:p w:rsidR="00563E85" w:rsidRPr="00757AC2" w:rsidRDefault="00563E85" w:rsidP="00563E85">
            <w:pPr>
              <w:pStyle w:val="BodyText"/>
              <w:spacing w:after="0"/>
              <w:jc w:val="center"/>
              <w:rPr>
                <w:rFonts w:ascii="GHEA Grapalat" w:hAnsi="GHEA Grapalat"/>
                <w:sz w:val="22"/>
                <w:szCs w:val="22"/>
                <w:lang w:val="hy-AM"/>
              </w:rPr>
            </w:pPr>
          </w:p>
          <w:p w:rsidR="00563E85" w:rsidRPr="00757AC2" w:rsidRDefault="00563E85" w:rsidP="00563E85">
            <w:pPr>
              <w:pStyle w:val="BodyText"/>
              <w:spacing w:after="0"/>
              <w:jc w:val="center"/>
              <w:rPr>
                <w:rFonts w:ascii="GHEA Grapalat" w:hAnsi="GHEA Grapalat"/>
                <w:sz w:val="22"/>
                <w:szCs w:val="22"/>
                <w:lang w:val="hy-AM"/>
              </w:rPr>
            </w:pPr>
          </w:p>
        </w:tc>
        <w:tc>
          <w:tcPr>
            <w:tcW w:w="6120" w:type="dxa"/>
            <w:tcBorders>
              <w:top w:val="single" w:sz="4" w:space="0" w:color="auto"/>
              <w:left w:val="single" w:sz="4" w:space="0" w:color="auto"/>
              <w:bottom w:val="single" w:sz="4" w:space="0" w:color="auto"/>
              <w:right w:val="single" w:sz="4" w:space="0" w:color="auto"/>
            </w:tcBorders>
          </w:tcPr>
          <w:p w:rsidR="00BA6F59" w:rsidRPr="003047B5" w:rsidRDefault="00BA6F59" w:rsidP="00ED59F7">
            <w:pPr>
              <w:jc w:val="both"/>
              <w:rPr>
                <w:rFonts w:ascii="GHEA Grapalat" w:hAnsi="GHEA Grapalat"/>
                <w:sz w:val="22"/>
                <w:szCs w:val="22"/>
                <w:lang w:val="hy-AM"/>
              </w:rPr>
            </w:pPr>
            <w:r w:rsidRPr="003047B5">
              <w:rPr>
                <w:rFonts w:ascii="GHEA Grapalat" w:hAnsi="GHEA Grapalat"/>
                <w:sz w:val="22"/>
                <w:szCs w:val="22"/>
                <w:lang w:val="hy-AM"/>
              </w:rPr>
              <w:t>«Հայաստանի Հանրապետության 2019 թվականի պետական բյուջեում վերաբաշխում, Հայաստանի Հանրապետության կառավարության 2018 թվականի դեկտեմբերի 27-ի թիվ 1515-Ն որոշման մեջ փոփոխություններ և լրացումներ կատարելու  ու Հայաստանի Հանրապետության կրթության, գիտության, մշակույթի և սպորտի նախարարությանը գումար  հատկացնելու մասին» Հայաստանի Հանրապետության կառավարության որոշման նախագիծը համապատասխանում է ՀՀ օրենսդրությանը:</w:t>
            </w:r>
          </w:p>
          <w:p w:rsidR="00BA6F59" w:rsidRPr="003047B5" w:rsidRDefault="00BA6F59" w:rsidP="00ED59F7">
            <w:pPr>
              <w:jc w:val="both"/>
              <w:rPr>
                <w:rFonts w:ascii="GHEA Grapalat" w:hAnsi="GHEA Grapalat"/>
                <w:sz w:val="22"/>
                <w:szCs w:val="22"/>
                <w:lang w:val="hy-AM"/>
              </w:rPr>
            </w:pPr>
          </w:p>
          <w:p w:rsidR="00563E85" w:rsidRPr="003047B5" w:rsidRDefault="00563E85" w:rsidP="00ED59F7">
            <w:pPr>
              <w:spacing w:after="200"/>
              <w:jc w:val="both"/>
              <w:rPr>
                <w:rFonts w:ascii="GHEA Grapalat" w:hAnsi="GHEA Grapalat"/>
                <w:sz w:val="22"/>
                <w:szCs w:val="22"/>
                <w:lang w:val="hy-AM"/>
              </w:rPr>
            </w:pPr>
          </w:p>
        </w:tc>
        <w:tc>
          <w:tcPr>
            <w:tcW w:w="2430" w:type="dxa"/>
            <w:tcBorders>
              <w:top w:val="single" w:sz="4" w:space="0" w:color="auto"/>
              <w:left w:val="single" w:sz="4" w:space="0" w:color="auto"/>
              <w:bottom w:val="single" w:sz="4" w:space="0" w:color="auto"/>
              <w:right w:val="single" w:sz="4" w:space="0" w:color="auto"/>
            </w:tcBorders>
            <w:hideMark/>
          </w:tcPr>
          <w:p w:rsidR="00563E85" w:rsidRPr="00757AC2" w:rsidRDefault="00563E85" w:rsidP="00563E85">
            <w:pPr>
              <w:rPr>
                <w:rFonts w:ascii="GHEA Grapalat" w:hAnsi="GHEA Grapalat"/>
                <w:sz w:val="22"/>
                <w:szCs w:val="22"/>
                <w:lang w:val="hy-AM"/>
              </w:rPr>
            </w:pPr>
            <w:r>
              <w:rPr>
                <w:rFonts w:ascii="GHEA Grapalat" w:hAnsi="GHEA Grapalat"/>
                <w:sz w:val="22"/>
                <w:szCs w:val="22"/>
                <w:lang w:val="hy-AM"/>
              </w:rPr>
              <w:t>Ընդունվել է</w:t>
            </w:r>
            <w:r>
              <w:rPr>
                <w:rFonts w:ascii="GHEA Grapalat" w:hAnsi="GHEA Grapalat"/>
                <w:sz w:val="22"/>
                <w:szCs w:val="22"/>
                <w:lang w:val="en-US"/>
              </w:rPr>
              <w:t xml:space="preserve"> ի </w:t>
            </w:r>
            <w:proofErr w:type="spellStart"/>
            <w:r>
              <w:rPr>
                <w:rFonts w:ascii="GHEA Grapalat" w:hAnsi="GHEA Grapalat"/>
                <w:sz w:val="22"/>
                <w:szCs w:val="22"/>
                <w:lang w:val="en-US"/>
              </w:rPr>
              <w:t>գիտություն</w:t>
            </w:r>
            <w:proofErr w:type="spellEnd"/>
            <w:r>
              <w:rPr>
                <w:rFonts w:ascii="GHEA Grapalat" w:hAnsi="GHEA Grapalat"/>
                <w:sz w:val="22"/>
                <w:szCs w:val="22"/>
                <w:lang w:val="en-US"/>
              </w:rPr>
              <w:t>։</w:t>
            </w:r>
          </w:p>
          <w:p w:rsidR="00563E85" w:rsidRPr="003101C0" w:rsidRDefault="00563E85" w:rsidP="00563E85">
            <w:pPr>
              <w:pStyle w:val="BodyText"/>
              <w:spacing w:after="0"/>
              <w:jc w:val="center"/>
              <w:rPr>
                <w:rFonts w:ascii="GHEA Grapalat" w:hAnsi="GHEA Grapalat"/>
                <w:sz w:val="22"/>
                <w:szCs w:val="22"/>
                <w:lang w:val="hy-AM"/>
              </w:rPr>
            </w:pPr>
          </w:p>
        </w:tc>
        <w:tc>
          <w:tcPr>
            <w:tcW w:w="2772" w:type="dxa"/>
            <w:tcBorders>
              <w:top w:val="single" w:sz="4" w:space="0" w:color="auto"/>
              <w:left w:val="single" w:sz="4" w:space="0" w:color="auto"/>
              <w:bottom w:val="single" w:sz="4" w:space="0" w:color="auto"/>
              <w:right w:val="single" w:sz="4" w:space="0" w:color="auto"/>
            </w:tcBorders>
          </w:tcPr>
          <w:p w:rsidR="00563E85" w:rsidRPr="003101C0" w:rsidRDefault="00563E85" w:rsidP="00563E85">
            <w:pPr>
              <w:pStyle w:val="BodyText"/>
              <w:spacing w:after="0"/>
              <w:rPr>
                <w:rFonts w:ascii="GHEA Grapalat" w:hAnsi="GHEA Grapalat"/>
                <w:sz w:val="22"/>
                <w:szCs w:val="22"/>
                <w:lang w:val="fr-FR"/>
              </w:rPr>
            </w:pPr>
          </w:p>
        </w:tc>
      </w:tr>
      <w:tr w:rsidR="00B4317A" w:rsidRPr="00B4317A" w:rsidTr="00B4317A">
        <w:trPr>
          <w:gridAfter w:val="1"/>
          <w:wAfter w:w="8" w:type="dxa"/>
        </w:trPr>
        <w:tc>
          <w:tcPr>
            <w:tcW w:w="738" w:type="dxa"/>
            <w:tcBorders>
              <w:top w:val="single" w:sz="4" w:space="0" w:color="auto"/>
              <w:left w:val="single" w:sz="4" w:space="0" w:color="auto"/>
              <w:bottom w:val="single" w:sz="4" w:space="0" w:color="auto"/>
              <w:right w:val="single" w:sz="4" w:space="0" w:color="auto"/>
            </w:tcBorders>
          </w:tcPr>
          <w:p w:rsidR="00B4317A" w:rsidRPr="00B4317A" w:rsidRDefault="00B4317A" w:rsidP="00B4317A">
            <w:pPr>
              <w:jc w:val="both"/>
              <w:rPr>
                <w:rFonts w:ascii="GHEA Grapalat" w:hAnsi="GHEA Grapalat"/>
                <w:sz w:val="22"/>
                <w:szCs w:val="22"/>
                <w:lang w:val="hy-AM"/>
              </w:rPr>
            </w:pPr>
            <w:r w:rsidRPr="00B4317A">
              <w:rPr>
                <w:rFonts w:ascii="GHEA Grapalat" w:hAnsi="GHEA Grapalat"/>
                <w:sz w:val="22"/>
                <w:szCs w:val="22"/>
                <w:lang w:val="hy-AM"/>
              </w:rPr>
              <w:t>2.</w:t>
            </w:r>
          </w:p>
        </w:tc>
        <w:tc>
          <w:tcPr>
            <w:tcW w:w="2790" w:type="dxa"/>
            <w:tcBorders>
              <w:top w:val="single" w:sz="4" w:space="0" w:color="auto"/>
              <w:left w:val="single" w:sz="4" w:space="0" w:color="auto"/>
              <w:bottom w:val="single" w:sz="4" w:space="0" w:color="auto"/>
              <w:right w:val="single" w:sz="4" w:space="0" w:color="auto"/>
            </w:tcBorders>
          </w:tcPr>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ՀՀ ֆինանսների նախարարություն</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03.07.2019 թ.</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 01/8-4/11086-19  գրություն</w:t>
            </w:r>
          </w:p>
          <w:p w:rsidR="00B4317A" w:rsidRPr="007E27C8" w:rsidRDefault="00B4317A" w:rsidP="00B4317A">
            <w:pPr>
              <w:jc w:val="both"/>
              <w:rPr>
                <w:rFonts w:ascii="GHEA Grapalat" w:hAnsi="GHEA Grapalat"/>
                <w:sz w:val="22"/>
                <w:szCs w:val="22"/>
                <w:lang w:val="hy-AM"/>
              </w:rPr>
            </w:pPr>
          </w:p>
        </w:tc>
        <w:tc>
          <w:tcPr>
            <w:tcW w:w="6120" w:type="dxa"/>
            <w:tcBorders>
              <w:top w:val="single" w:sz="4" w:space="0" w:color="auto"/>
              <w:left w:val="single" w:sz="4" w:space="0" w:color="auto"/>
              <w:bottom w:val="single" w:sz="4" w:space="0" w:color="auto"/>
              <w:right w:val="single" w:sz="4" w:space="0" w:color="auto"/>
            </w:tcBorders>
          </w:tcPr>
          <w:p w:rsidR="00B4317A" w:rsidRPr="00ED59F7" w:rsidRDefault="00B4317A" w:rsidP="00B4317A">
            <w:pPr>
              <w:jc w:val="both"/>
              <w:rPr>
                <w:rFonts w:ascii="GHEA Grapalat" w:hAnsi="GHEA Grapalat"/>
                <w:sz w:val="22"/>
                <w:szCs w:val="22"/>
                <w:lang w:val="hy-AM"/>
              </w:rPr>
            </w:pPr>
            <w:r w:rsidRPr="00B4317A">
              <w:rPr>
                <w:rFonts w:ascii="GHEA Grapalat" w:hAnsi="GHEA Grapalat"/>
                <w:sz w:val="22"/>
                <w:szCs w:val="22"/>
                <w:lang w:val="hy-AM"/>
              </w:rPr>
              <w:lastRenderedPageBreak/>
              <w:t>1.</w:t>
            </w:r>
            <w:r w:rsidRPr="00ED59F7">
              <w:rPr>
                <w:rFonts w:ascii="GHEA Grapalat" w:hAnsi="GHEA Grapalat"/>
                <w:sz w:val="22"/>
                <w:szCs w:val="22"/>
                <w:lang w:val="hy-AM"/>
              </w:rPr>
              <w:t xml:space="preserve">Նախագծով առաջարկվում է 1 մարզադպրոցի մետաղասարքավորումներով դահլիճի կառուցման, 1 մարզադպրոցի հիմնանորոգման և 1 մարզադպրոցի մարզադահլիճի և վարչա-կան տարածքի հիմնանորոգման նախագծանախահաշվային </w:t>
            </w:r>
            <w:r w:rsidRPr="00ED59F7">
              <w:rPr>
                <w:rFonts w:ascii="GHEA Grapalat" w:hAnsi="GHEA Grapalat"/>
                <w:sz w:val="22"/>
                <w:szCs w:val="22"/>
                <w:lang w:val="hy-AM"/>
              </w:rPr>
              <w:lastRenderedPageBreak/>
              <w:t xml:space="preserve">փաստաթղթերի ձեռքբերման նպատակով հատկացնել 9,000.0 հազար դրամ։ Մինչդեռ հստակեցված չեն հետագայում նշված օբյեկտների գծով իրականացվելիք շինարարական աշխատանքների (համաձայն Նախագծին կից հիմնավորման նշված շինարարական աշխատանքների համար կպահանջվի 241,000.0 հազար դրամ) ֆինանսավորման աղբյուրները։ </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2. ՀՀ կառավարության պահուստային ֆոնդից գումարի հատկացման առաջարկու-թյունը չի ներկայացվել ՀՀ կառավարության 27.12.2017թ. N 1515-Ն որոշման 4-րդ կետի 9-րդ ենթակետի «բ» պարբերությամբ սահմանված հանձնարարականին համապատասխան։</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 xml:space="preserve"> 3. Նախագծին կից ներկայացված չեն նախագծային աշխատանքների համա</w:t>
            </w:r>
            <w:r w:rsidRPr="00ED59F7">
              <w:rPr>
                <w:rFonts w:ascii="GHEA Grapalat" w:hAnsi="GHEA Grapalat"/>
                <w:sz w:val="22"/>
                <w:szCs w:val="22"/>
                <w:lang w:val="hy-AM"/>
              </w:rPr>
              <w:softHyphen/>
              <w:t>պա</w:t>
            </w:r>
            <w:r w:rsidRPr="00ED59F7">
              <w:rPr>
                <w:rFonts w:ascii="GHEA Grapalat" w:hAnsi="GHEA Grapalat"/>
                <w:sz w:val="22"/>
                <w:szCs w:val="22"/>
                <w:lang w:val="hy-AM"/>
              </w:rPr>
              <w:softHyphen/>
              <w:t>տաս</w:t>
            </w:r>
            <w:r w:rsidRPr="00ED59F7">
              <w:rPr>
                <w:rFonts w:ascii="GHEA Grapalat" w:hAnsi="GHEA Grapalat"/>
                <w:sz w:val="22"/>
                <w:szCs w:val="22"/>
                <w:lang w:val="hy-AM"/>
              </w:rPr>
              <w:softHyphen/>
              <w:t xml:space="preserve">խան հաշվարկ-հիմնավորումները։ </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 xml:space="preserve">4. ՀՀ կառավարության 04.05.2017թ. N 526-Ն որոշմամբ հաստատված՝ գնումների գործընթացի կազմակերպման կարգի 19-րդ կետի 2-րդ ենթակետի համաձայն՝ շինարարական ծրագրերի իրականացման համար անհրաժեշտ նախագծային փաստաթղթերի մշակման, փորձաքննության, հեղինակային և տեխնիկական հսկողության ծառայությունների գնումներն իրականացվում են շինարարության ոլորտում ՀՀ կառավարության քաղաքականությունը մշակող և իրականացնող մարմնի (մարմինների) կողմից, իսկ շինարարական ծրագրերի (շինարարական աշխատանքների) գնումները՝ պետական կառավարման այն մարմինների կողմից, որոնց կամ որոնց ենթակա կազմակերպությունների օգտագործման տակ գտնվում է տվյալ գույքը՝ բացառությամբ նույն կետի 1-ին ենթակետով նախատեսված դեպքերի: </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 xml:space="preserve">Ելնելով վերոգրյալից և նկատի ունենալով, որ Նախագծին </w:t>
            </w:r>
            <w:r w:rsidRPr="00ED59F7">
              <w:rPr>
                <w:rFonts w:ascii="GHEA Grapalat" w:hAnsi="GHEA Grapalat"/>
                <w:sz w:val="22"/>
                <w:szCs w:val="22"/>
                <w:lang w:val="hy-AM"/>
              </w:rPr>
              <w:lastRenderedPageBreak/>
              <w:t>կից հիմնավորման համաձայն՝ «Հրանտ Շահինյանի անվան սպորտային, գեղարվեստական մարմնամար-զության և ակրոբատիկայի օլիմպիական մանկապատանեկան մարզադպրոց» ՊՈԱԿ-ի բակային տարածքում մետաղասարքավորումներով մարզադահլիճի կառուցման նախագծա-նախահաշվային փաստաթղթերի ձեռքբերման և կառուցման համար պահանջվում է 150.000,0 հազար դրամ, հայտնում ենք, որ հիշյալ օբյեկտի նախագծային փաստաթղթերի մշակման, փորձաքննության, հեղինակային և տեխնիկական հսկողության ծառայությունների գնումը  պետք է իրականացվի ՀՀ քաղաքաշինության կոմիտեի կողմից: Հաշվի առնելով վերը նշվածը առաջարկում ենք խմբագրել Նախագծի 2-րդ կետը և N 3 հավելվածը։</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Նախագծի մարզադպրոցի մետաղասարքավորումներով դահլիճի կառուցման աշխա-տանքներն առաջարկում ենք նախատեսել արդեն իսկ գոյություն ունեցող 32001 «Մարզական օբյեկտների շինարարություն» միջոցառման մեջ, իսկ մարզադպրոցի հիմնանորոգման, մարզադահլիճի և վարչական տարածքի հիմնանորոգման աշխատանքները նախատեսել 32002 նոր միջոցառման մեջ։ Նշվածով պայմանավորված առաջարկում ենք խմբագրել Նախագծի NN 1, 2, 3, 4 և 5 հավելվածները։</w:t>
            </w:r>
          </w:p>
          <w:p w:rsidR="00B4317A" w:rsidRPr="00ED59F7" w:rsidRDefault="00B4317A" w:rsidP="00B4317A">
            <w:pPr>
              <w:jc w:val="both"/>
              <w:rPr>
                <w:rFonts w:ascii="GHEA Grapalat" w:hAnsi="GHEA Grapalat"/>
                <w:sz w:val="22"/>
                <w:szCs w:val="22"/>
                <w:lang w:val="hy-AM"/>
              </w:rPr>
            </w:pPr>
            <w:r w:rsidRPr="00ED59F7">
              <w:rPr>
                <w:rFonts w:ascii="GHEA Grapalat" w:hAnsi="GHEA Grapalat"/>
                <w:sz w:val="22"/>
                <w:szCs w:val="22"/>
                <w:lang w:val="hy-AM"/>
              </w:rPr>
              <w:t>5. Նախագծով առաջարկում ենք փոփոխություն կատարել նաև ՀՀ կառավարության 27.12.2017թ. N 1515-Ն որոշման N 5 հավելվածի N 2 աղյուսակում։</w:t>
            </w:r>
          </w:p>
          <w:p w:rsidR="00B4317A" w:rsidRPr="00B4317A" w:rsidRDefault="00B4317A" w:rsidP="00B4317A">
            <w:pPr>
              <w:jc w:val="both"/>
              <w:rPr>
                <w:rFonts w:ascii="GHEA Grapalat" w:hAnsi="GHEA Grapalat"/>
                <w:sz w:val="22"/>
                <w:szCs w:val="22"/>
                <w:lang w:val="hy-AM"/>
              </w:rPr>
            </w:pPr>
          </w:p>
        </w:tc>
        <w:tc>
          <w:tcPr>
            <w:tcW w:w="2430" w:type="dxa"/>
            <w:tcBorders>
              <w:top w:val="single" w:sz="4" w:space="0" w:color="auto"/>
              <w:left w:val="single" w:sz="4" w:space="0" w:color="auto"/>
              <w:bottom w:val="single" w:sz="4" w:space="0" w:color="auto"/>
              <w:right w:val="single" w:sz="4" w:space="0" w:color="auto"/>
            </w:tcBorders>
          </w:tcPr>
          <w:p w:rsidR="00B4317A" w:rsidRPr="00757AC2" w:rsidRDefault="00B4317A" w:rsidP="00B4317A">
            <w:pPr>
              <w:rPr>
                <w:rFonts w:ascii="GHEA Grapalat" w:hAnsi="GHEA Grapalat"/>
                <w:sz w:val="22"/>
                <w:szCs w:val="22"/>
                <w:lang w:val="hy-AM"/>
              </w:rPr>
            </w:pPr>
            <w:r>
              <w:rPr>
                <w:rFonts w:ascii="GHEA Grapalat" w:hAnsi="GHEA Grapalat"/>
                <w:sz w:val="22"/>
                <w:szCs w:val="22"/>
                <w:lang w:val="hy-AM"/>
              </w:rPr>
              <w:lastRenderedPageBreak/>
              <w:t>Ընդունվել է</w:t>
            </w:r>
            <w:r>
              <w:rPr>
                <w:rFonts w:ascii="GHEA Grapalat" w:hAnsi="GHEA Grapalat"/>
                <w:sz w:val="22"/>
                <w:szCs w:val="22"/>
                <w:lang w:val="en-US"/>
              </w:rPr>
              <w:t xml:space="preserve"> ի </w:t>
            </w:r>
            <w:proofErr w:type="spellStart"/>
            <w:r>
              <w:rPr>
                <w:rFonts w:ascii="GHEA Grapalat" w:hAnsi="GHEA Grapalat"/>
                <w:sz w:val="22"/>
                <w:szCs w:val="22"/>
                <w:lang w:val="en-US"/>
              </w:rPr>
              <w:t>գիտություն</w:t>
            </w:r>
            <w:proofErr w:type="spellEnd"/>
            <w:r>
              <w:rPr>
                <w:rFonts w:ascii="GHEA Grapalat" w:hAnsi="GHEA Grapalat"/>
                <w:sz w:val="22"/>
                <w:szCs w:val="22"/>
                <w:lang w:val="en-US"/>
              </w:rPr>
              <w:t>։</w:t>
            </w: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Pr="00757AC2" w:rsidRDefault="00B4317A" w:rsidP="00B4317A">
            <w:pPr>
              <w:rPr>
                <w:rFonts w:ascii="GHEA Grapalat" w:hAnsi="GHEA Grapalat"/>
                <w:sz w:val="22"/>
                <w:szCs w:val="22"/>
                <w:lang w:val="hy-AM"/>
              </w:rPr>
            </w:pPr>
            <w:r>
              <w:rPr>
                <w:rFonts w:ascii="GHEA Grapalat" w:hAnsi="GHEA Grapalat"/>
                <w:sz w:val="22"/>
                <w:szCs w:val="22"/>
                <w:lang w:val="hy-AM"/>
              </w:rPr>
              <w:t>Ընդունվել է</w:t>
            </w:r>
            <w:r w:rsidRPr="00B4317A">
              <w:rPr>
                <w:rFonts w:ascii="GHEA Grapalat" w:hAnsi="GHEA Grapalat"/>
                <w:sz w:val="22"/>
                <w:szCs w:val="22"/>
                <w:lang w:val="hy-AM"/>
              </w:rPr>
              <w:t xml:space="preserve"> ի գիտություն։</w:t>
            </w: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Default="00B4317A" w:rsidP="00B4317A">
            <w:pPr>
              <w:jc w:val="both"/>
              <w:rPr>
                <w:rFonts w:ascii="GHEA Grapalat" w:hAnsi="GHEA Grapalat"/>
                <w:sz w:val="22"/>
                <w:szCs w:val="22"/>
                <w:lang w:val="hy-AM"/>
              </w:rPr>
            </w:pPr>
          </w:p>
          <w:p w:rsidR="00B4317A" w:rsidRPr="00757AC2" w:rsidRDefault="00B4317A" w:rsidP="00B4317A">
            <w:pPr>
              <w:rPr>
                <w:rFonts w:ascii="GHEA Grapalat" w:hAnsi="GHEA Grapalat"/>
                <w:sz w:val="22"/>
                <w:szCs w:val="22"/>
                <w:lang w:val="hy-AM"/>
              </w:rPr>
            </w:pPr>
            <w:r>
              <w:rPr>
                <w:rFonts w:ascii="GHEA Grapalat" w:hAnsi="GHEA Grapalat"/>
                <w:sz w:val="22"/>
                <w:szCs w:val="22"/>
                <w:lang w:val="hy-AM"/>
              </w:rPr>
              <w:t>Ընդունվել է</w:t>
            </w:r>
            <w:r w:rsidRPr="00B4317A">
              <w:rPr>
                <w:rFonts w:ascii="GHEA Grapalat" w:hAnsi="GHEA Grapalat"/>
                <w:sz w:val="22"/>
                <w:szCs w:val="22"/>
                <w:lang w:val="hy-AM"/>
              </w:rPr>
              <w:t xml:space="preserve"> ի գիտություն։</w:t>
            </w:r>
          </w:p>
          <w:p w:rsidR="00B4317A" w:rsidRDefault="00B4317A" w:rsidP="00B4317A">
            <w:pPr>
              <w:jc w:val="both"/>
              <w:rPr>
                <w:rFonts w:ascii="GHEA Grapalat" w:hAnsi="GHEA Grapalat"/>
                <w:sz w:val="22"/>
                <w:szCs w:val="22"/>
                <w:lang w:val="hy-AM"/>
              </w:rPr>
            </w:pPr>
          </w:p>
          <w:p w:rsidR="00B4317A" w:rsidRPr="00757AC2" w:rsidRDefault="00B4317A" w:rsidP="00B4317A">
            <w:pPr>
              <w:rPr>
                <w:rFonts w:ascii="GHEA Grapalat" w:hAnsi="GHEA Grapalat"/>
                <w:sz w:val="22"/>
                <w:szCs w:val="22"/>
                <w:lang w:val="hy-AM"/>
              </w:rPr>
            </w:pPr>
            <w:r>
              <w:rPr>
                <w:rFonts w:ascii="GHEA Grapalat" w:hAnsi="GHEA Grapalat"/>
                <w:sz w:val="22"/>
                <w:szCs w:val="22"/>
                <w:lang w:val="hy-AM"/>
              </w:rPr>
              <w:t>Ընդունվել է</w:t>
            </w:r>
            <w:r>
              <w:rPr>
                <w:rFonts w:ascii="GHEA Grapalat" w:hAnsi="GHEA Grapalat"/>
                <w:sz w:val="22"/>
                <w:szCs w:val="22"/>
                <w:lang w:val="en-US"/>
              </w:rPr>
              <w:t xml:space="preserve"> ի </w:t>
            </w:r>
            <w:proofErr w:type="spellStart"/>
            <w:r>
              <w:rPr>
                <w:rFonts w:ascii="GHEA Grapalat" w:hAnsi="GHEA Grapalat"/>
                <w:sz w:val="22"/>
                <w:szCs w:val="22"/>
                <w:lang w:val="en-US"/>
              </w:rPr>
              <w:t>գիտություն</w:t>
            </w:r>
            <w:proofErr w:type="spellEnd"/>
            <w:r>
              <w:rPr>
                <w:rFonts w:ascii="GHEA Grapalat" w:hAnsi="GHEA Grapalat"/>
                <w:sz w:val="22"/>
                <w:szCs w:val="22"/>
                <w:lang w:val="en-US"/>
              </w:rPr>
              <w:t>։</w:t>
            </w:r>
          </w:p>
          <w:p w:rsidR="00B4317A" w:rsidRDefault="00B4317A" w:rsidP="00B4317A">
            <w:pPr>
              <w:jc w:val="both"/>
              <w:rPr>
                <w:rFonts w:ascii="GHEA Grapalat" w:hAnsi="GHEA Grapalat"/>
                <w:sz w:val="22"/>
                <w:szCs w:val="22"/>
                <w:lang w:val="hy-AM"/>
              </w:rPr>
            </w:pPr>
          </w:p>
        </w:tc>
        <w:tc>
          <w:tcPr>
            <w:tcW w:w="2772" w:type="dxa"/>
            <w:tcBorders>
              <w:top w:val="single" w:sz="4" w:space="0" w:color="auto"/>
              <w:left w:val="single" w:sz="4" w:space="0" w:color="auto"/>
              <w:bottom w:val="single" w:sz="4" w:space="0" w:color="auto"/>
              <w:right w:val="single" w:sz="4" w:space="0" w:color="auto"/>
            </w:tcBorders>
          </w:tcPr>
          <w:p w:rsidR="00B4317A" w:rsidRDefault="00B4317A" w:rsidP="00B4317A">
            <w:pPr>
              <w:jc w:val="both"/>
              <w:rPr>
                <w:rFonts w:ascii="GHEA Grapalat" w:hAnsi="GHEA Grapalat"/>
                <w:sz w:val="22"/>
                <w:szCs w:val="22"/>
                <w:lang w:val="hy-AM"/>
              </w:rPr>
            </w:pPr>
            <w:r w:rsidRPr="00B4317A">
              <w:rPr>
                <w:rFonts w:ascii="GHEA Grapalat" w:hAnsi="GHEA Grapalat"/>
                <w:sz w:val="22"/>
                <w:szCs w:val="22"/>
                <w:lang w:val="hy-AM"/>
              </w:rPr>
              <w:lastRenderedPageBreak/>
              <w:t>Կատարվել են համապատասխան փոփոխություններ:</w:t>
            </w: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r w:rsidRPr="00B4317A">
              <w:rPr>
                <w:rFonts w:ascii="GHEA Grapalat" w:hAnsi="GHEA Grapalat"/>
                <w:sz w:val="22"/>
                <w:szCs w:val="22"/>
                <w:lang w:val="hy-AM"/>
              </w:rPr>
              <w:t>Կատարվել են համապատասխան փոփոխություններ:</w:t>
            </w: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p>
          <w:p w:rsidR="00126B01" w:rsidRDefault="00126B01" w:rsidP="00B4317A">
            <w:pPr>
              <w:jc w:val="both"/>
              <w:rPr>
                <w:rFonts w:ascii="GHEA Grapalat" w:hAnsi="GHEA Grapalat"/>
                <w:sz w:val="22"/>
                <w:szCs w:val="22"/>
                <w:lang w:val="hy-AM"/>
              </w:rPr>
            </w:pPr>
            <w:r w:rsidRPr="00B4317A">
              <w:rPr>
                <w:rFonts w:ascii="GHEA Grapalat" w:hAnsi="GHEA Grapalat"/>
                <w:sz w:val="22"/>
                <w:szCs w:val="22"/>
                <w:lang w:val="hy-AM"/>
              </w:rPr>
              <w:t>Կատարվել են համապատասխան փոփոխություններ:</w:t>
            </w:r>
          </w:p>
          <w:p w:rsidR="00126B01" w:rsidRPr="00B4317A" w:rsidRDefault="00126B01" w:rsidP="00B4317A">
            <w:pPr>
              <w:jc w:val="both"/>
              <w:rPr>
                <w:rFonts w:ascii="GHEA Grapalat" w:hAnsi="GHEA Grapalat"/>
                <w:sz w:val="22"/>
                <w:szCs w:val="22"/>
                <w:lang w:val="hy-AM"/>
              </w:rPr>
            </w:pPr>
            <w:r w:rsidRPr="00B4317A">
              <w:rPr>
                <w:rFonts w:ascii="GHEA Grapalat" w:hAnsi="GHEA Grapalat"/>
                <w:sz w:val="22"/>
                <w:szCs w:val="22"/>
                <w:lang w:val="hy-AM"/>
              </w:rPr>
              <w:t>Կատարվել են համապատասխան փոփոխություններ:</w:t>
            </w:r>
            <w:bookmarkStart w:id="0" w:name="_GoBack"/>
            <w:bookmarkEnd w:id="0"/>
          </w:p>
        </w:tc>
      </w:tr>
    </w:tbl>
    <w:p w:rsidR="00111749" w:rsidRDefault="00111749" w:rsidP="00B4317A">
      <w:pPr>
        <w:jc w:val="both"/>
        <w:rPr>
          <w:rFonts w:ascii="GHEA Grapalat" w:hAnsi="GHEA Grapalat"/>
          <w:sz w:val="22"/>
          <w:szCs w:val="22"/>
          <w:lang w:val="hy-AM"/>
        </w:rPr>
      </w:pPr>
    </w:p>
    <w:p w:rsidR="00102492" w:rsidRDefault="00102492" w:rsidP="00792A89">
      <w:pPr>
        <w:rPr>
          <w:rFonts w:ascii="GHEA Grapalat" w:hAnsi="GHEA Grapalat"/>
          <w:sz w:val="22"/>
          <w:szCs w:val="22"/>
          <w:lang w:val="hy-AM"/>
        </w:rPr>
      </w:pPr>
    </w:p>
    <w:p w:rsidR="003047B5" w:rsidRDefault="003047B5" w:rsidP="00792A89">
      <w:pPr>
        <w:rPr>
          <w:rFonts w:ascii="GHEA Grapalat" w:hAnsi="GHEA Grapalat"/>
          <w:sz w:val="22"/>
          <w:szCs w:val="22"/>
          <w:lang w:val="hy-AM"/>
        </w:rPr>
      </w:pPr>
    </w:p>
    <w:p w:rsidR="003047B5" w:rsidRDefault="003047B5" w:rsidP="00792A89">
      <w:pPr>
        <w:rPr>
          <w:rFonts w:ascii="GHEA Grapalat" w:hAnsi="GHEA Grapalat"/>
          <w:sz w:val="22"/>
          <w:szCs w:val="22"/>
          <w:lang w:val="hy-AM"/>
        </w:rPr>
      </w:pPr>
    </w:p>
    <w:p w:rsidR="003047B5" w:rsidRDefault="003047B5" w:rsidP="00792A89">
      <w:pPr>
        <w:rPr>
          <w:rFonts w:ascii="GHEA Grapalat" w:hAnsi="GHEA Grapalat"/>
          <w:sz w:val="22"/>
          <w:szCs w:val="22"/>
          <w:lang w:val="hy-AM"/>
        </w:rPr>
      </w:pPr>
    </w:p>
    <w:p w:rsidR="003047B5" w:rsidRPr="00757AC2" w:rsidRDefault="003047B5" w:rsidP="00792A89">
      <w:pPr>
        <w:rPr>
          <w:rFonts w:ascii="GHEA Grapalat" w:hAnsi="GHEA Grapalat"/>
          <w:sz w:val="22"/>
          <w:szCs w:val="22"/>
          <w:lang w:val="hy-AM"/>
        </w:rPr>
      </w:pPr>
    </w:p>
    <w:sectPr w:rsidR="003047B5" w:rsidRPr="00757AC2" w:rsidSect="00792A89">
      <w:pgSz w:w="16838" w:h="11906" w:orient="landscape"/>
      <w:pgMar w:top="576" w:right="187" w:bottom="1354" w:left="113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C0"/>
    <w:rsid w:val="00000151"/>
    <w:rsid w:val="00047204"/>
    <w:rsid w:val="0009313C"/>
    <w:rsid w:val="00102492"/>
    <w:rsid w:val="00111749"/>
    <w:rsid w:val="00126B01"/>
    <w:rsid w:val="00145609"/>
    <w:rsid w:val="001808BF"/>
    <w:rsid w:val="00194DDF"/>
    <w:rsid w:val="00194F69"/>
    <w:rsid w:val="001A6BBA"/>
    <w:rsid w:val="003047B5"/>
    <w:rsid w:val="003101C0"/>
    <w:rsid w:val="00343A94"/>
    <w:rsid w:val="00343B93"/>
    <w:rsid w:val="0042431B"/>
    <w:rsid w:val="0044000F"/>
    <w:rsid w:val="00492AA0"/>
    <w:rsid w:val="00542A7A"/>
    <w:rsid w:val="00563E85"/>
    <w:rsid w:val="005807A7"/>
    <w:rsid w:val="006243E2"/>
    <w:rsid w:val="00710109"/>
    <w:rsid w:val="00757AC2"/>
    <w:rsid w:val="0076218D"/>
    <w:rsid w:val="00792A89"/>
    <w:rsid w:val="007A26D4"/>
    <w:rsid w:val="007C76B2"/>
    <w:rsid w:val="007E27C8"/>
    <w:rsid w:val="0089061A"/>
    <w:rsid w:val="00943228"/>
    <w:rsid w:val="00973B80"/>
    <w:rsid w:val="009A3692"/>
    <w:rsid w:val="009E1952"/>
    <w:rsid w:val="00A40BD8"/>
    <w:rsid w:val="00B4317A"/>
    <w:rsid w:val="00BA6F59"/>
    <w:rsid w:val="00BC7A89"/>
    <w:rsid w:val="00BF3E98"/>
    <w:rsid w:val="00BF6B53"/>
    <w:rsid w:val="00CD4A65"/>
    <w:rsid w:val="00E10C18"/>
    <w:rsid w:val="00E50EFB"/>
    <w:rsid w:val="00ED59F7"/>
    <w:rsid w:val="00EE1290"/>
    <w:rsid w:val="00FD3112"/>
    <w:rsid w:val="00FE1258"/>
    <w:rsid w:val="00FF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3429"/>
  <w15:docId w15:val="{1C48AB20-3069-4797-9E30-8F4C5509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C0"/>
    <w:rPr>
      <w:sz w:val="24"/>
      <w:szCs w:val="24"/>
      <w:lang w:val="ru-RU" w:eastAsia="ru-RU"/>
    </w:rPr>
  </w:style>
  <w:style w:type="paragraph" w:styleId="Heading1">
    <w:name w:val="heading 1"/>
    <w:basedOn w:val="Normal"/>
    <w:next w:val="Normal"/>
    <w:link w:val="Heading1Char"/>
    <w:qFormat/>
    <w:rsid w:val="00E10C18"/>
    <w:pPr>
      <w:keepNext/>
      <w:jc w:val="center"/>
      <w:outlineLvl w:val="0"/>
    </w:pPr>
    <w:rPr>
      <w:rFonts w:ascii="Times Armenian" w:hAnsi="Times Armenian"/>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C18"/>
    <w:rPr>
      <w:rFonts w:ascii="Times Armenian" w:hAnsi="Times Armenian"/>
      <w:b/>
      <w:sz w:val="24"/>
      <w:szCs w:val="24"/>
    </w:rPr>
  </w:style>
  <w:style w:type="paragraph" w:styleId="NoSpacing">
    <w:name w:val="No Spacing"/>
    <w:uiPriority w:val="1"/>
    <w:qFormat/>
    <w:rsid w:val="00BF3E98"/>
    <w:rPr>
      <w:sz w:val="24"/>
      <w:szCs w:val="24"/>
      <w:lang w:val="ru-RU" w:eastAsia="ru-RU"/>
    </w:rPr>
  </w:style>
  <w:style w:type="paragraph" w:styleId="ListParagraph">
    <w:name w:val="List Paragraph"/>
    <w:basedOn w:val="Normal"/>
    <w:uiPriority w:val="34"/>
    <w:qFormat/>
    <w:rsid w:val="003101C0"/>
    <w:pPr>
      <w:spacing w:after="200" w:line="276" w:lineRule="auto"/>
      <w:ind w:left="720"/>
      <w:contextualSpacing/>
    </w:pPr>
    <w:rPr>
      <w:rFonts w:ascii="Calibri" w:hAnsi="Calibri"/>
      <w:sz w:val="22"/>
      <w:szCs w:val="22"/>
      <w:lang w:val="en-US" w:eastAsia="en-US"/>
    </w:rPr>
  </w:style>
  <w:style w:type="paragraph" w:styleId="BodyText">
    <w:name w:val="Body Text"/>
    <w:basedOn w:val="Normal"/>
    <w:link w:val="BodyTextChar"/>
    <w:rsid w:val="003101C0"/>
    <w:pPr>
      <w:spacing w:after="120"/>
    </w:pPr>
  </w:style>
  <w:style w:type="character" w:customStyle="1" w:styleId="BodyTextChar">
    <w:name w:val="Body Text Char"/>
    <w:basedOn w:val="DefaultParagraphFont"/>
    <w:link w:val="BodyText"/>
    <w:rsid w:val="003101C0"/>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461">
      <w:bodyDiv w:val="1"/>
      <w:marLeft w:val="0"/>
      <w:marRight w:val="0"/>
      <w:marTop w:val="0"/>
      <w:marBottom w:val="0"/>
      <w:divBdr>
        <w:top w:val="none" w:sz="0" w:space="0" w:color="auto"/>
        <w:left w:val="none" w:sz="0" w:space="0" w:color="auto"/>
        <w:bottom w:val="none" w:sz="0" w:space="0" w:color="auto"/>
        <w:right w:val="none" w:sz="0" w:space="0" w:color="auto"/>
      </w:divBdr>
    </w:div>
    <w:div w:id="1109860684">
      <w:bodyDiv w:val="1"/>
      <w:marLeft w:val="0"/>
      <w:marRight w:val="0"/>
      <w:marTop w:val="0"/>
      <w:marBottom w:val="0"/>
      <w:divBdr>
        <w:top w:val="none" w:sz="0" w:space="0" w:color="auto"/>
        <w:left w:val="none" w:sz="0" w:space="0" w:color="auto"/>
        <w:bottom w:val="none" w:sz="0" w:space="0" w:color="auto"/>
        <w:right w:val="none" w:sz="0" w:space="0" w:color="auto"/>
      </w:divBdr>
    </w:div>
    <w:div w:id="1521973174">
      <w:bodyDiv w:val="1"/>
      <w:marLeft w:val="0"/>
      <w:marRight w:val="0"/>
      <w:marTop w:val="0"/>
      <w:marBottom w:val="0"/>
      <w:divBdr>
        <w:top w:val="none" w:sz="0" w:space="0" w:color="auto"/>
        <w:left w:val="none" w:sz="0" w:space="0" w:color="auto"/>
        <w:bottom w:val="none" w:sz="0" w:space="0" w:color="auto"/>
        <w:right w:val="none" w:sz="0" w:space="0" w:color="auto"/>
      </w:divBdr>
    </w:div>
    <w:div w:id="1631664559">
      <w:bodyDiv w:val="1"/>
      <w:marLeft w:val="0"/>
      <w:marRight w:val="0"/>
      <w:marTop w:val="0"/>
      <w:marBottom w:val="0"/>
      <w:divBdr>
        <w:top w:val="none" w:sz="0" w:space="0" w:color="auto"/>
        <w:left w:val="none" w:sz="0" w:space="0" w:color="auto"/>
        <w:bottom w:val="none" w:sz="0" w:space="0" w:color="auto"/>
        <w:right w:val="none" w:sz="0" w:space="0" w:color="auto"/>
      </w:divBdr>
    </w:div>
    <w:div w:id="19229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AD0BD-8A47-4C48-9BC3-C33B04CE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coreProperties>
</file>