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AA" w:rsidRPr="00A4223E" w:rsidRDefault="00D26FAA" w:rsidP="00A4223E">
      <w:pPr>
        <w:tabs>
          <w:tab w:val="left" w:pos="-720"/>
        </w:tabs>
        <w:spacing w:line="276" w:lineRule="auto"/>
        <w:ind w:firstLine="720"/>
        <w:jc w:val="center"/>
        <w:rPr>
          <w:rFonts w:ascii="GHEA Grapalat" w:hAnsi="GHEA Grapalat" w:cs="Arial LatArm"/>
          <w:b/>
          <w:bCs/>
          <w:sz w:val="22"/>
          <w:szCs w:val="22"/>
          <w:lang w:val="af-ZA"/>
        </w:rPr>
      </w:pPr>
      <w:r w:rsidRPr="00A4223E">
        <w:rPr>
          <w:rFonts w:ascii="GHEA Grapalat" w:hAnsi="GHEA Grapalat" w:cs="Arial LatArm"/>
          <w:b/>
          <w:bCs/>
          <w:sz w:val="22"/>
          <w:szCs w:val="22"/>
          <w:lang w:val="af-ZA"/>
        </w:rPr>
        <w:t>ԱԶԴԵՑՈՒԹՅԱՆ ԳՆԱՀԱՏՄԱՆ ԵԶՐԱԿԱՑՈՒԹՅՈՒՆ</w:t>
      </w:r>
    </w:p>
    <w:p w:rsidR="00D26FAA" w:rsidRPr="00A4223E" w:rsidRDefault="00D26FAA" w:rsidP="00A4223E">
      <w:pPr>
        <w:tabs>
          <w:tab w:val="left" w:pos="-720"/>
        </w:tabs>
        <w:spacing w:line="276" w:lineRule="auto"/>
        <w:ind w:firstLine="720"/>
        <w:jc w:val="center"/>
        <w:rPr>
          <w:rFonts w:ascii="GHEA Grapalat" w:hAnsi="GHEA Grapalat" w:cs="Arial LatArm"/>
          <w:b/>
          <w:sz w:val="22"/>
          <w:szCs w:val="22"/>
          <w:lang w:val="af-ZA"/>
        </w:rPr>
      </w:pPr>
    </w:p>
    <w:p w:rsidR="00D26FAA" w:rsidRPr="00A4223E" w:rsidRDefault="00D26FAA" w:rsidP="00A4223E">
      <w:pPr>
        <w:tabs>
          <w:tab w:val="left" w:pos="-720"/>
        </w:tabs>
        <w:spacing w:line="276" w:lineRule="auto"/>
        <w:ind w:firstLine="720"/>
        <w:jc w:val="center"/>
        <w:rPr>
          <w:rFonts w:ascii="GHEA Grapalat" w:hAnsi="GHEA Grapalat" w:cs="Arial LatArm"/>
          <w:b/>
          <w:sz w:val="22"/>
          <w:szCs w:val="22"/>
          <w:lang w:val="af-ZA"/>
        </w:rPr>
      </w:pPr>
    </w:p>
    <w:p w:rsidR="00D26FAA" w:rsidRPr="00A4223E" w:rsidRDefault="00D26FAA" w:rsidP="00A4223E">
      <w:pPr>
        <w:tabs>
          <w:tab w:val="left" w:pos="-720"/>
        </w:tabs>
        <w:spacing w:line="276" w:lineRule="auto"/>
        <w:ind w:firstLine="720"/>
        <w:jc w:val="center"/>
        <w:rPr>
          <w:rFonts w:ascii="GHEA Grapalat" w:hAnsi="GHEA Grapalat" w:cs="Arial LatArm"/>
          <w:b/>
          <w:sz w:val="22"/>
          <w:szCs w:val="22"/>
          <w:lang w:val="af-ZA"/>
        </w:rPr>
      </w:pPr>
      <w:r w:rsidRPr="00A4223E">
        <w:rPr>
          <w:rFonts w:ascii="GHEA Grapalat" w:hAnsi="GHEA Grapalat" w:cs="Arial LatArm"/>
          <w:b/>
          <w:sz w:val="22"/>
          <w:szCs w:val="22"/>
          <w:lang w:val="af-ZA"/>
        </w:rPr>
        <w:t>«Արժեթղթերի շուկայի մասին»  Հայաստանի Հանրապետության օրենքում փոփոխություններ և լրացումներ կատարելու մասին», «Հայաստանի Հանրապետության քրեական օրենսգրքում լրացումներ կատարելու մասին», «Հայաստանի Հանրապետության քրեական դատավարության օրենսգրքում լրացում կատարելու մասին» և ««Բանկային գաղտնիքի մասին» Հայաստանի Հանրապետության օրենքում լրացում կատարելու մասին»  Հայաստանի Հանրապետության օրենքների նախագծերի բնապահպանության բնագավառում կարգավորման</w:t>
      </w:r>
    </w:p>
    <w:p w:rsidR="00D26FAA" w:rsidRPr="00A4223E" w:rsidRDefault="00D26FAA" w:rsidP="00A4223E">
      <w:pPr>
        <w:tabs>
          <w:tab w:val="left" w:pos="-720"/>
        </w:tabs>
        <w:spacing w:line="276" w:lineRule="auto"/>
        <w:ind w:firstLine="720"/>
        <w:jc w:val="center"/>
        <w:rPr>
          <w:rFonts w:ascii="GHEA Grapalat" w:hAnsi="GHEA Grapalat" w:cs="Arial LatArm"/>
          <w:b/>
          <w:sz w:val="22"/>
          <w:szCs w:val="22"/>
          <w:lang w:val="af-ZA"/>
        </w:rPr>
      </w:pPr>
    </w:p>
    <w:p w:rsidR="00DB15C8" w:rsidRPr="00A4223E" w:rsidRDefault="00D26FAA" w:rsidP="00A4223E">
      <w:pPr>
        <w:pStyle w:val="ListParagraph"/>
        <w:numPr>
          <w:ilvl w:val="0"/>
          <w:numId w:val="1"/>
        </w:numPr>
        <w:spacing w:line="276" w:lineRule="auto"/>
        <w:rPr>
          <w:sz w:val="22"/>
          <w:szCs w:val="22"/>
          <w:lang w:val="af-ZA"/>
        </w:rPr>
      </w:pPr>
      <w:r w:rsidRPr="00A4223E">
        <w:rPr>
          <w:rFonts w:ascii="GHEA Grapalat" w:hAnsi="GHEA Grapalat" w:cs="Arian AMU"/>
          <w:bCs/>
          <w:sz w:val="22"/>
          <w:szCs w:val="22"/>
          <w:lang w:val="af-ZA"/>
        </w:rPr>
        <w:t>««Արժեթղթերի շուկայի մասին»  Հայաստանի Հանրապետության օրենքում փոփոխություններ և լրացումներ կատարելու մասին», «Հայաստանի Հանրապետության քրեական օրենսգրքում լրացումներ կատարելու մասին», «Հայաստանի Հանրապետության քրեական դատավարության օրենսգրքում լրացում կատարելու մասին» և ««Բանկային գաղտնիքի մասին» Հայաստանի Հանրապետության օրենքում լրացում կատարելու մասին»</w:t>
      </w:r>
      <w:r w:rsidRPr="00A4223E">
        <w:rPr>
          <w:color w:val="000000"/>
          <w:sz w:val="22"/>
          <w:szCs w:val="22"/>
          <w:lang w:val="hy-AM" w:eastAsia="ru-RU"/>
        </w:rPr>
        <w:t xml:space="preserve">  </w:t>
      </w:r>
      <w:r w:rsidRPr="00A4223E">
        <w:rPr>
          <w:rFonts w:ascii="GHEA Grapalat" w:hAnsi="GHEA Grapalat" w:cs="Arian AMU"/>
          <w:bCs/>
          <w:sz w:val="22"/>
          <w:szCs w:val="22"/>
          <w:lang w:val="af-ZA"/>
        </w:rPr>
        <w:t xml:space="preserve">Հայաստանի Հանրապետության ՀՀ օրենքների (այսուհետ` </w:t>
      </w:r>
      <w:r w:rsidR="00A4223E" w:rsidRPr="00A4223E">
        <w:rPr>
          <w:rFonts w:ascii="GHEA Grapalat" w:hAnsi="GHEA Grapalat" w:cs="Arian AMU"/>
          <w:bCs/>
          <w:sz w:val="22"/>
          <w:szCs w:val="22"/>
          <w:lang w:val="af-ZA"/>
        </w:rPr>
        <w:t>օրենքներ</w:t>
      </w:r>
      <w:r w:rsidRPr="00A4223E">
        <w:rPr>
          <w:rFonts w:ascii="GHEA Grapalat" w:hAnsi="GHEA Grapalat" w:cs="Arian AMU"/>
          <w:bCs/>
          <w:sz w:val="22"/>
          <w:szCs w:val="22"/>
          <w:lang w:val="af-ZA"/>
        </w:rPr>
        <w:t>)</w:t>
      </w:r>
      <w:r w:rsidR="00A4223E" w:rsidRPr="00A4223E">
        <w:rPr>
          <w:rFonts w:ascii="GHEA Grapalat" w:hAnsi="GHEA Grapalat" w:cs="Arian AMU"/>
          <w:bCs/>
          <w:sz w:val="22"/>
          <w:szCs w:val="22"/>
          <w:lang w:val="af-ZA"/>
        </w:rPr>
        <w:t xml:space="preserve"> ընդունման արդյունքում մթնոլորտի, հողի, ջրային ռեսուրսների, ընդերքի, բուսական եւ կենդանական աշխարհի, հատո</w:t>
      </w:r>
      <w:r w:rsidR="004053A1">
        <w:rPr>
          <w:rFonts w:ascii="GHEA Grapalat" w:hAnsi="GHEA Grapalat" w:cs="Arian AMU"/>
          <w:bCs/>
          <w:sz w:val="22"/>
          <w:szCs w:val="22"/>
          <w:lang w:val="af-ZA"/>
        </w:rPr>
        <w:t>ւ</w:t>
      </w:r>
      <w:bookmarkStart w:id="0" w:name="_GoBack"/>
      <w:bookmarkEnd w:id="0"/>
      <w:r w:rsidR="00A4223E" w:rsidRPr="00A4223E">
        <w:rPr>
          <w:rFonts w:ascii="GHEA Grapalat" w:hAnsi="GHEA Grapalat" w:cs="Arian AMU"/>
          <w:bCs/>
          <w:sz w:val="22"/>
          <w:szCs w:val="22"/>
          <w:lang w:val="af-ZA"/>
        </w:rPr>
        <w:t>կ պահպանվող տարածքների վրա բացասական հետեւանքներ չեն առաջանա:</w:t>
      </w:r>
    </w:p>
    <w:p w:rsidR="00A4223E" w:rsidRPr="00A4223E" w:rsidRDefault="00A4223E" w:rsidP="00A4223E">
      <w:pPr>
        <w:pStyle w:val="ListParagraph"/>
        <w:numPr>
          <w:ilvl w:val="0"/>
          <w:numId w:val="1"/>
        </w:numPr>
        <w:spacing w:line="276" w:lineRule="auto"/>
        <w:rPr>
          <w:sz w:val="22"/>
          <w:szCs w:val="22"/>
          <w:lang w:val="af-ZA"/>
        </w:rPr>
      </w:pPr>
      <w:r>
        <w:rPr>
          <w:rFonts w:ascii="GHEA Grapalat" w:hAnsi="GHEA Grapalat" w:cs="Arian AMU"/>
          <w:bCs/>
          <w:sz w:val="22"/>
          <w:szCs w:val="22"/>
          <w:lang w:val="af-ZA"/>
        </w:rPr>
        <w:t>Օրենքների նախագծերի չընդունման դեպքում շրջակա միջավայրի օբյեկտների վրա</w:t>
      </w:r>
      <w:r w:rsidRPr="00A4223E">
        <w:rPr>
          <w:rFonts w:ascii="GHEA Grapalat" w:hAnsi="GHEA Grapalat" w:cs="Arian AMU"/>
          <w:bCs/>
          <w:sz w:val="22"/>
          <w:szCs w:val="22"/>
          <w:lang w:val="af-ZA"/>
        </w:rPr>
        <w:t xml:space="preserve"> բացասական հետեւանքներ չեն առաջանա:</w:t>
      </w:r>
    </w:p>
    <w:p w:rsidR="00A4223E" w:rsidRPr="00A4223E" w:rsidRDefault="00A4223E" w:rsidP="00A4223E">
      <w:pPr>
        <w:pStyle w:val="ListParagraph"/>
        <w:numPr>
          <w:ilvl w:val="0"/>
          <w:numId w:val="1"/>
        </w:numPr>
        <w:spacing w:line="276" w:lineRule="auto"/>
        <w:rPr>
          <w:sz w:val="22"/>
          <w:szCs w:val="22"/>
          <w:lang w:val="af-ZA"/>
        </w:rPr>
      </w:pPr>
      <w:r>
        <w:rPr>
          <w:rFonts w:ascii="GHEA Grapalat" w:hAnsi="GHEA Grapalat" w:cs="Arian AMU"/>
          <w:bCs/>
          <w:sz w:val="22"/>
          <w:szCs w:val="22"/>
          <w:lang w:val="af-ZA"/>
        </w:rPr>
        <w:t xml:space="preserve">Օրենքների նախագծերը բնապահպանության ոլորտին չեն առնչվում, այդ ոլորտը կանոնակարգող իրավական ակտերով ամրագրված սկզբունքներին եւ պահանջներին չեն հակասում: </w:t>
      </w:r>
    </w:p>
    <w:p w:rsidR="00A4223E" w:rsidRPr="00A4223E" w:rsidRDefault="00A4223E" w:rsidP="00A4223E">
      <w:pPr>
        <w:pStyle w:val="ListParagraph"/>
        <w:spacing w:line="276" w:lineRule="auto"/>
        <w:rPr>
          <w:sz w:val="22"/>
          <w:szCs w:val="22"/>
          <w:lang w:val="af-ZA"/>
        </w:rPr>
      </w:pPr>
      <w:r>
        <w:rPr>
          <w:rFonts w:ascii="GHEA Grapalat" w:hAnsi="GHEA Grapalat" w:cs="Arian AMU"/>
          <w:bCs/>
          <w:sz w:val="22"/>
          <w:szCs w:val="22"/>
          <w:lang w:val="af-ZA"/>
        </w:rPr>
        <w:t xml:space="preserve">Օրենքների կիրարկման արդյունքում բնապահպանության բնագավառում կանխատեսվող հետեւանքների գնահատման եւ վարվող քաղաքականության համեմատական վիճակագրական վերլուծություններ կատարելու անհրաժեշտությունը բացակայում է:  </w:t>
      </w:r>
    </w:p>
    <w:sectPr w:rsidR="00A4223E" w:rsidRPr="00A4223E" w:rsidSect="00E15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n AMU">
    <w:panose1 w:val="01000000000000000000"/>
    <w:charset w:val="00"/>
    <w:family w:val="auto"/>
    <w:pitch w:val="variable"/>
    <w:sig w:usb0="A5002EEF" w:usb1="5000000B" w:usb2="00000000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F0CDA"/>
    <w:multiLevelType w:val="hybridMultilevel"/>
    <w:tmpl w:val="D16E0958"/>
    <w:lvl w:ilvl="0" w:tplc="656C709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Arian AMU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D26FAA"/>
    <w:rsid w:val="004053A1"/>
    <w:rsid w:val="00A4223E"/>
    <w:rsid w:val="00C130D7"/>
    <w:rsid w:val="00D26FAA"/>
    <w:rsid w:val="00DB15C8"/>
    <w:rsid w:val="00E15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2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2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 Gharajyan</dc:creator>
  <cp:lastModifiedBy>ZalikoB</cp:lastModifiedBy>
  <cp:revision>4</cp:revision>
  <dcterms:created xsi:type="dcterms:W3CDTF">2016-06-21T06:03:00Z</dcterms:created>
  <dcterms:modified xsi:type="dcterms:W3CDTF">2016-06-21T11:43:00Z</dcterms:modified>
</cp:coreProperties>
</file>